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Pr="00A755E4" w:rsidRDefault="005D0A6F" w:rsidP="000A7BB6">
      <w:pPr>
        <w:jc w:val="center"/>
        <w:rPr>
          <w:rFonts w:ascii="Arial" w:hAnsi="Arial" w:cs="Arial"/>
          <w:b/>
          <w:sz w:val="28"/>
          <w:szCs w:val="28"/>
        </w:rPr>
      </w:pPr>
      <w:r>
        <w:rPr>
          <w:rFonts w:ascii="Arial" w:hAnsi="Arial" w:cs="Arial"/>
          <w:b/>
          <w:sz w:val="28"/>
          <w:szCs w:val="28"/>
        </w:rPr>
        <w:t xml:space="preserve">INFORME MENSUAL </w:t>
      </w:r>
      <w:r w:rsidR="00422C78">
        <w:rPr>
          <w:rFonts w:ascii="Arial" w:hAnsi="Arial" w:cs="Arial"/>
          <w:b/>
          <w:sz w:val="28"/>
          <w:szCs w:val="28"/>
        </w:rPr>
        <w:t>NOVIEMBRE</w:t>
      </w: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ENTIDAD FEDERATIVA JALISCO</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32"/>
          <w:szCs w:val="32"/>
        </w:rPr>
      </w:pPr>
      <w:r w:rsidRPr="00A755E4">
        <w:rPr>
          <w:rFonts w:ascii="Arial" w:hAnsi="Arial" w:cs="Arial"/>
          <w:b/>
          <w:sz w:val="32"/>
          <w:szCs w:val="32"/>
        </w:rPr>
        <w:t>INSTITUTO JALISCIENSE DE LAS MUJERES</w:t>
      </w:r>
    </w:p>
    <w:p w:rsidR="000A7BB6" w:rsidRPr="00A755E4" w:rsidRDefault="000A7BB6" w:rsidP="000A7BB6">
      <w:pP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MUNICIPIO JAMAY </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tabs>
          <w:tab w:val="left" w:pos="0"/>
        </w:tabs>
        <w:jc w:val="both"/>
        <w:rPr>
          <w:rFonts w:ascii="Arial" w:hAnsi="Arial" w:cs="Arial"/>
          <w:b/>
        </w:rPr>
      </w:pPr>
      <w:r w:rsidRPr="00A755E4">
        <w:rPr>
          <w:rFonts w:ascii="Arial" w:hAnsi="Arial" w:cs="Arial"/>
          <w:b/>
        </w:rPr>
        <w:t>INFORMACIÓN DEL CDM</w:t>
      </w:r>
    </w:p>
    <w:p w:rsidR="000A7BB6" w:rsidRPr="00A755E4" w:rsidRDefault="000A7BB6" w:rsidP="000A7BB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Datos generales del CDM:</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Jalisco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0A7BB6" w:rsidRPr="00A755E4" w:rsidRDefault="000A7BB6" w:rsidP="000A7BB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Información del Área Responsable:</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822C8A" w:rsidP="00822C8A">
            <w:pPr>
              <w:tabs>
                <w:tab w:val="left" w:pos="0"/>
              </w:tabs>
              <w:spacing w:line="276" w:lineRule="auto"/>
              <w:jc w:val="both"/>
              <w:rPr>
                <w:rFonts w:ascii="Arial" w:hAnsi="Arial" w:cs="Arial"/>
                <w:b/>
              </w:rPr>
            </w:pPr>
            <w:r w:rsidRPr="00A755E4">
              <w:rPr>
                <w:rFonts w:ascii="Arial" w:hAnsi="Arial" w:cs="Arial"/>
                <w:b/>
              </w:rPr>
              <w:t>Lic. Alejandro Chávez Zamudio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Jamay</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422C78">
            <w:pPr>
              <w:tabs>
                <w:tab w:val="left" w:pos="0"/>
              </w:tabs>
              <w:spacing w:line="276" w:lineRule="auto"/>
              <w:jc w:val="both"/>
              <w:rPr>
                <w:rFonts w:ascii="Arial" w:hAnsi="Arial" w:cs="Arial"/>
                <w:b/>
              </w:rPr>
            </w:pPr>
            <w:r>
              <w:rPr>
                <w:rFonts w:ascii="Arial" w:hAnsi="Arial" w:cs="Arial"/>
                <w:b/>
              </w:rPr>
              <w:t>Noviembre</w:t>
            </w:r>
            <w:r w:rsidR="00DC39A2" w:rsidRPr="00A755E4">
              <w:rPr>
                <w:rFonts w:ascii="Arial" w:hAnsi="Arial" w:cs="Arial"/>
                <w:b/>
              </w:rPr>
              <w:t xml:space="preserve"> 2018</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 xml:space="preserve">ANTECEDENTES </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xml:space="preserve">), con el </w:t>
      </w:r>
      <w:r w:rsidRPr="00A755E4">
        <w:rPr>
          <w:rFonts w:ascii="Arial" w:hAnsi="Arial" w:cs="Arial"/>
        </w:rPr>
        <w:lastRenderedPageBreak/>
        <w:t>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promover el desarrollo humano con perspectiva de género y vincular a los diversos actores sociales para avanzar en el logro de la igualdad sustantiva entre mujeres y hombres en los municipios”</w:t>
      </w:r>
      <w:r w:rsidRPr="00A755E4">
        <w:rPr>
          <w:rFonts w:ascii="Arial" w:hAnsi="Arial" w:cs="Arial"/>
          <w:sz w:val="26"/>
          <w:szCs w:val="26"/>
        </w:rPr>
        <w:t>¹</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Además, tiene como visión: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brindar orientación, formación y promover la participación activa de las mujeres con perspectiva de género, impulsando el liderazgo y empoderamiento de las mismas”</w:t>
      </w:r>
      <w:r w:rsidRPr="00A755E4">
        <w:rPr>
          <w:rFonts w:ascii="Arial" w:hAnsi="Arial" w:cs="Arial"/>
          <w:sz w:val="26"/>
          <w:szCs w:val="26"/>
        </w:rPr>
        <w:t>²</w:t>
      </w:r>
      <w:r w:rsidRPr="00A755E4">
        <w:rPr>
          <w:rFonts w:ascii="Arial" w:hAnsi="Arial" w:cs="Arial"/>
        </w:rPr>
        <w:t xml:space="preserve">.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6E4348" w:rsidRPr="00A755E4" w:rsidRDefault="006E4348" w:rsidP="006E4348">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A755E4">
        <w:rPr>
          <w:rFonts w:ascii="Arial" w:hAnsi="Arial" w:cs="Arial"/>
          <w:sz w:val="26"/>
          <w:szCs w:val="26"/>
        </w:rPr>
        <w:t>³</w:t>
      </w:r>
      <w:r w:rsidRPr="00A755E4">
        <w:rPr>
          <w:rFonts w:ascii="Arial" w:hAnsi="Arial" w:cs="Arial"/>
        </w:rPr>
        <w:t>.</w:t>
      </w: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784C8E" w:rsidP="006E4348">
      <w:pPr>
        <w:autoSpaceDE w:val="0"/>
        <w:autoSpaceDN w:val="0"/>
        <w:adjustRightInd w:val="0"/>
        <w:spacing w:line="276" w:lineRule="auto"/>
        <w:rPr>
          <w:rFonts w:ascii="Arial" w:hAnsi="Arial" w:cs="Arial"/>
        </w:rPr>
      </w:pPr>
      <w:r>
        <w:rPr>
          <w:rFonts w:ascii="Arial" w:hAnsi="Arial" w:cs="Arial"/>
          <w:noProof/>
          <w:sz w:val="16"/>
          <w:lang w:val="es-MX" w:eastAsia="es-MX"/>
        </w:rPr>
        <w:pict>
          <v:line id="Conector recto 7" o:spid="_x0000_s1026" style="position:absolute;flip:y;z-index:251659264;visibility:visible;mso-width-relative:margin"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" strokecolor="black [3213]" strokeweight=".5pt">
            <v:stroke joinstyle="miter"/>
          </v:line>
        </w:pict>
      </w: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INTRODUCCIÓN</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6E4348" w:rsidRPr="00A755E4" w:rsidRDefault="006E4348" w:rsidP="006E4348">
      <w:pPr>
        <w:spacing w:line="276" w:lineRule="auto"/>
        <w:jc w:val="both"/>
        <w:rPr>
          <w:rFonts w:ascii="Arial" w:hAnsi="Arial" w:cs="Arial"/>
        </w:rPr>
      </w:pPr>
      <w:r w:rsidRPr="00A755E4">
        <w:rPr>
          <w:rFonts w:ascii="Arial" w:hAnsi="Arial" w:cs="Arial"/>
        </w:rPr>
        <w:t xml:space="preserve">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w:t>
      </w:r>
      <w:r w:rsidRPr="00A755E4">
        <w:rPr>
          <w:rFonts w:ascii="Arial" w:hAnsi="Arial" w:cs="Arial"/>
        </w:rPr>
        <w:lastRenderedPageBreak/>
        <w:t>igualdad sustantiva, es decir, que los hombres y las mujeres de manera equitativa tenga el mismo trato y el pleno ejercicio de sus Derechos Humanos y la libertad.</w:t>
      </w:r>
    </w:p>
    <w:p w:rsidR="006E4348" w:rsidRPr="00A755E4" w:rsidRDefault="006E4348" w:rsidP="006E4348">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E4348" w:rsidRPr="00A755E4" w:rsidRDefault="006E4348" w:rsidP="006E4348">
      <w:pPr>
        <w:spacing w:line="276" w:lineRule="auto"/>
        <w:jc w:val="both"/>
        <w:rPr>
          <w:rFonts w:ascii="Arial" w:hAnsi="Arial" w:cs="Arial"/>
        </w:rPr>
      </w:pPr>
      <w:r w:rsidRPr="00A755E4">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E4348" w:rsidRPr="00A755E4" w:rsidRDefault="006E4348" w:rsidP="006E4348">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E4348" w:rsidRPr="00A755E4" w:rsidRDefault="006E4348" w:rsidP="006E4348">
      <w:pPr>
        <w:spacing w:line="276" w:lineRule="auto"/>
        <w:jc w:val="both"/>
        <w:rPr>
          <w:rFonts w:ascii="Arial" w:hAnsi="Arial" w:cs="Arial"/>
        </w:rPr>
      </w:pPr>
      <w:r w:rsidRPr="00A755E4">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E4348" w:rsidRPr="00A755E4" w:rsidRDefault="006E4348" w:rsidP="006E4348">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6E4348" w:rsidRPr="00A755E4" w:rsidRDefault="006E4348" w:rsidP="006E4348">
      <w:pPr>
        <w:spacing w:line="276" w:lineRule="auto"/>
        <w:jc w:val="both"/>
        <w:rPr>
          <w:rFonts w:ascii="Arial" w:hAnsi="Arial" w:cs="Arial"/>
        </w:rPr>
      </w:pPr>
    </w:p>
    <w:p w:rsidR="006E4348" w:rsidRPr="00A755E4" w:rsidRDefault="006E4348" w:rsidP="006E4348">
      <w:pPr>
        <w:spacing w:line="276" w:lineRule="auto"/>
        <w:jc w:val="both"/>
      </w:pPr>
      <w:r w:rsidRPr="00A755E4">
        <w:rPr>
          <w:rFonts w:ascii="Arial" w:hAnsi="Arial" w:cs="Arial"/>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w:t>
      </w:r>
      <w:r w:rsidRPr="00A755E4">
        <w:rPr>
          <w:rFonts w:ascii="Arial" w:hAnsi="Arial" w:cs="Arial"/>
        </w:rPr>
        <w:lastRenderedPageBreak/>
        <w:t>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sidR="0060228C">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C20BC1" w:rsidRPr="00A755E4" w:rsidRDefault="00C20BC1"/>
    <w:p w:rsidR="006E4348" w:rsidRPr="00A755E4" w:rsidRDefault="006E4348"/>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INFORME DE LA OPERACIÓN DEL CDM</w:t>
      </w:r>
    </w:p>
    <w:p w:rsidR="000A7BB6" w:rsidRPr="00A755E4" w:rsidRDefault="000A7BB6" w:rsidP="000A7BB6">
      <w:pPr>
        <w:tabs>
          <w:tab w:val="left" w:pos="0"/>
        </w:tabs>
        <w:spacing w:line="276" w:lineRule="auto"/>
        <w:jc w:val="both"/>
        <w:rPr>
          <w:rFonts w:ascii="Arial" w:hAnsi="Arial" w:cs="Arial"/>
          <w:b/>
        </w:rPr>
      </w:pP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TIPO DE POBLACIÓN CAPACITADA</w:t>
      </w: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Gráficas de Talleres Impartidos</w:t>
      </w: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 w:rsidR="000A7BB6" w:rsidRPr="00A755E4" w:rsidRDefault="000A7BB6" w:rsidP="000A7BB6">
      <w:pPr>
        <w:tabs>
          <w:tab w:val="left" w:pos="0"/>
        </w:tabs>
        <w:spacing w:line="276" w:lineRule="auto"/>
        <w:jc w:val="both"/>
        <w:rPr>
          <w:rFonts w:ascii="Arial" w:hAnsi="Arial" w:cs="Arial"/>
        </w:rPr>
      </w:pPr>
      <w:r w:rsidRPr="00A755E4">
        <w:rPr>
          <w:noProof/>
          <w:lang w:val="es-MX" w:eastAsia="es-MX"/>
        </w:rPr>
        <w:drawing>
          <wp:inline distT="0" distB="0" distL="0" distR="0">
            <wp:extent cx="5495925" cy="3209925"/>
            <wp:effectExtent l="1905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63E00" w:rsidRPr="00A755E4" w:rsidRDefault="00862DBD" w:rsidP="00D06883">
      <w:pPr>
        <w:tabs>
          <w:tab w:val="left" w:pos="0"/>
        </w:tabs>
        <w:spacing w:line="276" w:lineRule="auto"/>
        <w:jc w:val="both"/>
        <w:rPr>
          <w:rFonts w:ascii="Arial" w:hAnsi="Arial" w:cs="Arial"/>
        </w:rPr>
      </w:pPr>
      <w:r w:rsidRPr="00A755E4">
        <w:rPr>
          <w:rFonts w:ascii="Arial" w:hAnsi="Arial" w:cs="Arial"/>
        </w:rPr>
        <w:t>Se Impar</w:t>
      </w:r>
      <w:r w:rsidR="003644DF" w:rsidRPr="00A755E4">
        <w:rPr>
          <w:rFonts w:ascii="Arial" w:hAnsi="Arial" w:cs="Arial"/>
        </w:rPr>
        <w:t>tieron</w:t>
      </w:r>
      <w:r w:rsidR="00EF4EFE">
        <w:rPr>
          <w:rFonts w:ascii="Arial" w:hAnsi="Arial" w:cs="Arial"/>
        </w:rPr>
        <w:t xml:space="preserve"> dos mesas de trabajo una a</w:t>
      </w:r>
      <w:r w:rsidR="006F03F7">
        <w:rPr>
          <w:rFonts w:ascii="Arial" w:hAnsi="Arial" w:cs="Arial"/>
        </w:rPr>
        <w:t xml:space="preserve"> mujeres participativas y lideresa</w:t>
      </w:r>
      <w:r w:rsidR="00EF4EFE">
        <w:rPr>
          <w:rFonts w:ascii="Arial" w:hAnsi="Arial" w:cs="Arial"/>
        </w:rPr>
        <w:t>s en la Delegación de Maltaraña y una a personas con poder de decisión en presidencia municipal, en cabildo.</w:t>
      </w:r>
    </w:p>
    <w:p w:rsidR="006F03F7" w:rsidRDefault="006F03F7" w:rsidP="00D06883">
      <w:pPr>
        <w:tabs>
          <w:tab w:val="left" w:pos="0"/>
        </w:tabs>
        <w:spacing w:line="276" w:lineRule="auto"/>
        <w:jc w:val="both"/>
        <w:rPr>
          <w:rFonts w:ascii="Arial" w:hAnsi="Arial" w:cs="Arial"/>
        </w:rPr>
      </w:pPr>
    </w:p>
    <w:p w:rsidR="006F03F7" w:rsidRPr="00A755E4" w:rsidRDefault="006F03F7" w:rsidP="00D06883">
      <w:pPr>
        <w:tabs>
          <w:tab w:val="left" w:pos="0"/>
        </w:tabs>
        <w:spacing w:line="276" w:lineRule="auto"/>
        <w:jc w:val="both"/>
        <w:rPr>
          <w:rFonts w:ascii="Arial" w:hAnsi="Arial" w:cs="Arial"/>
        </w:rPr>
      </w:pPr>
    </w:p>
    <w:p w:rsidR="000A7BB6" w:rsidRPr="00A755E4" w:rsidRDefault="000A7BB6" w:rsidP="000A7BB6">
      <w:pPr>
        <w:spacing w:line="276" w:lineRule="auto"/>
        <w:rPr>
          <w:rFonts w:ascii="Arial" w:hAnsi="Arial" w:cs="Arial"/>
        </w:rPr>
      </w:pPr>
      <w:r w:rsidRPr="00A755E4">
        <w:rPr>
          <w:noProof/>
          <w:lang w:val="es-MX" w:eastAsia="es-MX"/>
        </w:rPr>
        <w:drawing>
          <wp:inline distT="0" distB="0" distL="0" distR="0">
            <wp:extent cx="5495925" cy="3209925"/>
            <wp:effectExtent l="19050" t="0" r="9525"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54A86" w:rsidRPr="00A755E4" w:rsidRDefault="006F03F7" w:rsidP="006F03F7">
      <w:pPr>
        <w:spacing w:line="276" w:lineRule="auto"/>
        <w:rPr>
          <w:rFonts w:ascii="Arial" w:hAnsi="Arial" w:cs="Arial"/>
          <w:b/>
        </w:rPr>
      </w:pPr>
      <w:r>
        <w:rPr>
          <w:rFonts w:ascii="Arial" w:hAnsi="Arial" w:cs="Arial"/>
        </w:rPr>
        <w:t>La mesa de trabajo fue para mujeres.</w:t>
      </w:r>
    </w:p>
    <w:p w:rsidR="00CF6069" w:rsidRPr="00A755E4" w:rsidRDefault="0082607F"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19050" t="0" r="1905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A4082" w:rsidRPr="00A755E4" w:rsidRDefault="00FA4082" w:rsidP="000A7BB6">
      <w:pPr>
        <w:tabs>
          <w:tab w:val="left" w:pos="0"/>
          <w:tab w:val="right" w:pos="8838"/>
        </w:tabs>
        <w:spacing w:line="276" w:lineRule="auto"/>
        <w:jc w:val="both"/>
        <w:rPr>
          <w:rFonts w:ascii="Arial" w:hAnsi="Arial" w:cs="Arial"/>
        </w:rPr>
      </w:pPr>
      <w:r w:rsidRPr="00A755E4">
        <w:rPr>
          <w:rFonts w:ascii="Arial" w:hAnsi="Arial" w:cs="Arial"/>
        </w:rPr>
        <w:t>En esta gráfica se muestra la edad de las participantes</w:t>
      </w:r>
      <w:r w:rsidR="006F03F7">
        <w:rPr>
          <w:rFonts w:ascii="Arial" w:hAnsi="Arial" w:cs="Arial"/>
        </w:rPr>
        <w:t xml:space="preserve"> y lideresas del grupo</w:t>
      </w:r>
      <w:r w:rsidRPr="00A755E4">
        <w:rPr>
          <w:rFonts w:ascii="Arial" w:hAnsi="Arial" w:cs="Arial"/>
        </w:rPr>
        <w:t>.</w:t>
      </w:r>
    </w:p>
    <w:p w:rsidR="00FA4082" w:rsidRDefault="00FA4082" w:rsidP="000A7BB6">
      <w:pPr>
        <w:tabs>
          <w:tab w:val="left" w:pos="0"/>
          <w:tab w:val="right" w:pos="8838"/>
        </w:tabs>
        <w:spacing w:line="276" w:lineRule="auto"/>
        <w:jc w:val="both"/>
        <w:rPr>
          <w:rFonts w:ascii="Arial" w:hAnsi="Arial" w:cs="Arial"/>
          <w:b/>
        </w:rPr>
      </w:pPr>
    </w:p>
    <w:p w:rsidR="00CF6069" w:rsidRDefault="00CF6069"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lastRenderedPageBreak/>
        <w:drawing>
          <wp:inline distT="0" distB="0" distL="0" distR="0" wp14:anchorId="2B6441E2" wp14:editId="4040491A">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F6069" w:rsidRPr="00CF6069" w:rsidRDefault="00CF6069" w:rsidP="000A7BB6">
      <w:pPr>
        <w:tabs>
          <w:tab w:val="left" w:pos="0"/>
          <w:tab w:val="right" w:pos="8838"/>
        </w:tabs>
        <w:spacing w:line="276" w:lineRule="auto"/>
        <w:jc w:val="both"/>
        <w:rPr>
          <w:rFonts w:ascii="Arial" w:hAnsi="Arial" w:cs="Arial"/>
        </w:rPr>
      </w:pPr>
      <w:r w:rsidRPr="00CF6069">
        <w:rPr>
          <w:rFonts w:ascii="Arial" w:hAnsi="Arial" w:cs="Arial"/>
        </w:rPr>
        <w:t>Edades de personas con poder de decisión</w:t>
      </w:r>
    </w:p>
    <w:p w:rsidR="00E2734C" w:rsidRPr="00A755E4" w:rsidRDefault="00E2734C"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19050" t="0" r="1905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75554" w:rsidRPr="00A755E4" w:rsidRDefault="00FC0573" w:rsidP="000A7BB6">
      <w:pPr>
        <w:tabs>
          <w:tab w:val="left" w:pos="0"/>
          <w:tab w:val="right" w:pos="8838"/>
        </w:tabs>
        <w:spacing w:line="276" w:lineRule="auto"/>
        <w:jc w:val="both"/>
        <w:rPr>
          <w:rFonts w:ascii="Arial" w:hAnsi="Arial" w:cs="Arial"/>
          <w:b/>
        </w:rPr>
      </w:pPr>
      <w:r>
        <w:rPr>
          <w:rFonts w:ascii="Arial" w:hAnsi="Arial" w:cs="Arial"/>
        </w:rPr>
        <w:t>Se realizaron 2 mesas de trabajo</w:t>
      </w:r>
      <w:r w:rsidR="00EF4EFE">
        <w:rPr>
          <w:rFonts w:ascii="Arial" w:hAnsi="Arial" w:cs="Arial"/>
        </w:rPr>
        <w:t xml:space="preserve">, 1 </w:t>
      </w:r>
      <w:r w:rsidR="004969E5" w:rsidRPr="00A755E4">
        <w:rPr>
          <w:rFonts w:ascii="Arial" w:hAnsi="Arial" w:cs="Arial"/>
        </w:rPr>
        <w:t>en la Delegación de Maltaraña</w:t>
      </w:r>
      <w:r w:rsidR="00EF4EFE">
        <w:rPr>
          <w:rFonts w:ascii="Arial" w:hAnsi="Arial" w:cs="Arial"/>
        </w:rPr>
        <w:t xml:space="preserve"> y 1 en cabecera Jamay</w:t>
      </w:r>
      <w:r w:rsidR="004969E5" w:rsidRPr="00A755E4">
        <w:rPr>
          <w:rFonts w:ascii="Arial" w:hAnsi="Arial" w:cs="Arial"/>
        </w:rPr>
        <w:t>.</w:t>
      </w:r>
    </w:p>
    <w:p w:rsidR="00426B45" w:rsidRDefault="00426B45" w:rsidP="000A7BB6">
      <w:pPr>
        <w:tabs>
          <w:tab w:val="left" w:pos="0"/>
          <w:tab w:val="right" w:pos="8838"/>
        </w:tabs>
        <w:spacing w:line="276" w:lineRule="auto"/>
        <w:jc w:val="both"/>
        <w:rPr>
          <w:rFonts w:ascii="Arial" w:hAnsi="Arial" w:cs="Arial"/>
          <w:b/>
        </w:rPr>
      </w:pPr>
    </w:p>
    <w:p w:rsidR="00CF6069" w:rsidRDefault="00CF6069" w:rsidP="000A7BB6">
      <w:pPr>
        <w:tabs>
          <w:tab w:val="left" w:pos="0"/>
          <w:tab w:val="right" w:pos="8838"/>
        </w:tabs>
        <w:spacing w:line="276" w:lineRule="auto"/>
        <w:jc w:val="both"/>
        <w:rPr>
          <w:rFonts w:ascii="Arial" w:hAnsi="Arial" w:cs="Arial"/>
          <w:b/>
        </w:rPr>
      </w:pPr>
    </w:p>
    <w:p w:rsidR="00CF6069" w:rsidRPr="00A755E4" w:rsidRDefault="00CF6069" w:rsidP="000A7BB6">
      <w:pPr>
        <w:tabs>
          <w:tab w:val="left" w:pos="0"/>
          <w:tab w:val="right" w:pos="8838"/>
        </w:tabs>
        <w:spacing w:line="276" w:lineRule="auto"/>
        <w:jc w:val="both"/>
        <w:rPr>
          <w:rFonts w:ascii="Arial" w:hAnsi="Arial" w:cs="Arial"/>
          <w:b/>
        </w:rPr>
      </w:pPr>
    </w:p>
    <w:p w:rsidR="00E63E00" w:rsidRPr="00A755E4" w:rsidRDefault="000A7BB6" w:rsidP="000A7BB6">
      <w:pPr>
        <w:tabs>
          <w:tab w:val="left" w:pos="0"/>
          <w:tab w:val="right" w:pos="8838"/>
        </w:tabs>
        <w:spacing w:line="276" w:lineRule="auto"/>
        <w:jc w:val="both"/>
        <w:rPr>
          <w:rFonts w:ascii="Arial" w:hAnsi="Arial" w:cs="Arial"/>
          <w:b/>
        </w:rPr>
      </w:pPr>
      <w:r w:rsidRPr="00A755E4">
        <w:rPr>
          <w:rFonts w:ascii="Arial" w:hAnsi="Arial" w:cs="Arial"/>
          <w:b/>
        </w:rPr>
        <w:lastRenderedPageBreak/>
        <w:t>Gráficas de Asesorías</w:t>
      </w:r>
    </w:p>
    <w:p w:rsidR="00D06883" w:rsidRPr="00A755E4" w:rsidRDefault="00CF6069" w:rsidP="000A7BB6">
      <w:pPr>
        <w:tabs>
          <w:tab w:val="left" w:pos="0"/>
          <w:tab w:val="right" w:pos="8838"/>
        </w:tabs>
        <w:spacing w:line="276" w:lineRule="auto"/>
        <w:jc w:val="both"/>
        <w:rPr>
          <w:rFonts w:ascii="Arial" w:hAnsi="Arial" w:cs="Arial"/>
        </w:rPr>
      </w:pPr>
      <w:r>
        <w:rPr>
          <w:rFonts w:ascii="Arial" w:hAnsi="Arial" w:cs="Arial"/>
        </w:rPr>
        <w:t>No Se brindó</w:t>
      </w:r>
      <w:r w:rsidR="00FC0573">
        <w:rPr>
          <w:rFonts w:ascii="Arial" w:hAnsi="Arial" w:cs="Arial"/>
        </w:rPr>
        <w:t xml:space="preserve"> atención </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34E9" w:rsidRPr="00A755E4" w:rsidRDefault="001934E9" w:rsidP="003F3AF8">
      <w:pPr>
        <w:rPr>
          <w:rFonts w:ascii="Arial" w:hAnsi="Arial" w:cs="Arial"/>
        </w:rPr>
      </w:pPr>
    </w:p>
    <w:p w:rsidR="003F3AF8" w:rsidRPr="00A755E4" w:rsidRDefault="00D06883" w:rsidP="003F3AF8">
      <w:pPr>
        <w:rPr>
          <w:rFonts w:ascii="Arial" w:hAnsi="Arial" w:cs="Arial"/>
        </w:rPr>
      </w:pPr>
      <w:r w:rsidRPr="00A755E4">
        <w:rPr>
          <w:rFonts w:ascii="Arial" w:hAnsi="Arial" w:cs="Arial"/>
        </w:rPr>
        <w:t>El rango de edad</w:t>
      </w:r>
      <w:r w:rsidR="00FC0573">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FC0573" w:rsidRDefault="00D06883" w:rsidP="000A7BB6">
      <w:pPr>
        <w:tabs>
          <w:tab w:val="left" w:pos="0"/>
          <w:tab w:val="right" w:pos="8838"/>
        </w:tabs>
        <w:spacing w:line="276" w:lineRule="auto"/>
        <w:jc w:val="both"/>
        <w:rPr>
          <w:rFonts w:ascii="Arial" w:hAnsi="Arial" w:cs="Arial"/>
        </w:rPr>
      </w:pPr>
      <w:r w:rsidRPr="00A755E4">
        <w:rPr>
          <w:rFonts w:ascii="Arial" w:hAnsi="Arial" w:cs="Arial"/>
        </w:rPr>
        <w:t>Grado de e</w:t>
      </w:r>
      <w:r w:rsidR="001E17A5" w:rsidRPr="00A755E4">
        <w:rPr>
          <w:rFonts w:ascii="Arial" w:hAnsi="Arial" w:cs="Arial"/>
        </w:rPr>
        <w:t>scolaridad</w:t>
      </w:r>
      <w:r w:rsidR="00CF6069">
        <w:rPr>
          <w:rFonts w:ascii="Arial" w:hAnsi="Arial" w:cs="Arial"/>
        </w:rPr>
        <w:t xml:space="preserve"> no</w:t>
      </w:r>
      <w:r w:rsidR="001E17A5" w:rsidRPr="00A755E4">
        <w:rPr>
          <w:rFonts w:ascii="Arial" w:hAnsi="Arial" w:cs="Arial"/>
        </w:rPr>
        <w:t xml:space="preserve"> ejercido.</w:t>
      </w:r>
    </w:p>
    <w:p w:rsidR="004067EC"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34E9" w:rsidRPr="00A755E4" w:rsidRDefault="001934E9" w:rsidP="000A7BB6">
      <w:pPr>
        <w:tabs>
          <w:tab w:val="left" w:pos="0"/>
          <w:tab w:val="right" w:pos="8838"/>
        </w:tabs>
        <w:spacing w:line="276" w:lineRule="auto"/>
        <w:jc w:val="both"/>
        <w:rPr>
          <w:rFonts w:ascii="Arial" w:hAnsi="Arial" w:cs="Arial"/>
          <w:b/>
        </w:rPr>
      </w:pPr>
    </w:p>
    <w:p w:rsidR="004067EC" w:rsidRPr="00A755E4"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r w:rsidR="00196236"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4C6964" w:rsidRPr="00A755E4" w:rsidRDefault="004C6964" w:rsidP="000A7BB6">
      <w:pPr>
        <w:tabs>
          <w:tab w:val="left" w:pos="0"/>
          <w:tab w:val="right" w:pos="8838"/>
        </w:tabs>
        <w:spacing w:line="276" w:lineRule="auto"/>
        <w:jc w:val="both"/>
        <w:rPr>
          <w:rFonts w:ascii="Arial" w:hAnsi="Arial" w:cs="Arial"/>
        </w:rPr>
      </w:pPr>
    </w:p>
    <w:p w:rsidR="009557BC"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r w:rsidR="009557BC">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r w:rsidR="00986CE1"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244029" cy="3040655"/>
            <wp:effectExtent l="19050" t="0" r="13771" b="734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986CE1" w:rsidRPr="00A755E4" w:rsidRDefault="00986CE1" w:rsidP="000A7BB6">
      <w:pPr>
        <w:tabs>
          <w:tab w:val="left" w:pos="0"/>
          <w:tab w:val="right" w:pos="8838"/>
        </w:tabs>
        <w:spacing w:line="276" w:lineRule="auto"/>
        <w:jc w:val="both"/>
        <w:rPr>
          <w:rFonts w:ascii="Arial" w:hAnsi="Arial" w:cs="Arial"/>
        </w:rPr>
      </w:pPr>
    </w:p>
    <w:p w:rsidR="00986CE1" w:rsidRPr="00A755E4" w:rsidRDefault="00986CE1" w:rsidP="000A7BB6">
      <w:pPr>
        <w:tabs>
          <w:tab w:val="left" w:pos="0"/>
          <w:tab w:val="right" w:pos="8838"/>
        </w:tabs>
        <w:spacing w:line="276" w:lineRule="auto"/>
        <w:jc w:val="both"/>
        <w:rPr>
          <w:rFonts w:ascii="Arial" w:hAnsi="Arial" w:cs="Arial"/>
        </w:rPr>
      </w:pPr>
    </w:p>
    <w:p w:rsidR="00196236" w:rsidRPr="00A755E4"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r w:rsidR="00196236"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r w:rsidR="003D44FA"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r w:rsidR="0023285E" w:rsidRPr="00A755E4">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FE020F" w:rsidRDefault="00FE020F" w:rsidP="000A7BB6">
      <w:pPr>
        <w:tabs>
          <w:tab w:val="left" w:pos="0"/>
          <w:tab w:val="right" w:pos="8838"/>
        </w:tabs>
        <w:spacing w:line="276" w:lineRule="auto"/>
        <w:jc w:val="both"/>
        <w:rPr>
          <w:rFonts w:ascii="Arial" w:hAnsi="Arial" w:cs="Arial"/>
        </w:rPr>
      </w:pPr>
    </w:p>
    <w:p w:rsidR="00CF6069" w:rsidRDefault="00CF6069" w:rsidP="000A7BB6">
      <w:pPr>
        <w:tabs>
          <w:tab w:val="left" w:pos="0"/>
          <w:tab w:val="right" w:pos="8838"/>
        </w:tabs>
        <w:spacing w:line="276" w:lineRule="auto"/>
        <w:jc w:val="both"/>
        <w:rPr>
          <w:rFonts w:ascii="Arial" w:hAnsi="Arial" w:cs="Arial"/>
        </w:rPr>
      </w:pPr>
      <w:r>
        <w:rPr>
          <w:rFonts w:ascii="Arial" w:hAnsi="Arial" w:cs="Arial"/>
        </w:rPr>
        <w:t xml:space="preserve">No existe registro  </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CF6069" w:rsidRDefault="00CF6069" w:rsidP="000A7BB6">
      <w:pPr>
        <w:tabs>
          <w:tab w:val="left" w:pos="0"/>
          <w:tab w:val="right" w:pos="8838"/>
        </w:tabs>
        <w:spacing w:line="276" w:lineRule="auto"/>
        <w:jc w:val="both"/>
        <w:rPr>
          <w:rFonts w:ascii="Arial" w:hAnsi="Arial" w:cs="Arial"/>
        </w:rPr>
      </w:pPr>
    </w:p>
    <w:p w:rsidR="00CA3FED" w:rsidRPr="00A755E4" w:rsidRDefault="00CF6069" w:rsidP="000A7BB6">
      <w:pPr>
        <w:tabs>
          <w:tab w:val="left" w:pos="0"/>
          <w:tab w:val="right" w:pos="8838"/>
        </w:tabs>
        <w:spacing w:line="276" w:lineRule="auto"/>
        <w:jc w:val="both"/>
        <w:rPr>
          <w:rFonts w:ascii="Arial" w:hAnsi="Arial" w:cs="Arial"/>
        </w:rPr>
      </w:pPr>
      <w:r>
        <w:rPr>
          <w:rFonts w:ascii="Arial" w:hAnsi="Arial" w:cs="Arial"/>
        </w:rPr>
        <w:lastRenderedPageBreak/>
        <w:t>No existe registro</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A3FED" w:rsidRPr="00A755E4" w:rsidRDefault="00CA3FED" w:rsidP="000A7BB6">
      <w:pPr>
        <w:tabs>
          <w:tab w:val="left" w:pos="0"/>
          <w:tab w:val="right" w:pos="8838"/>
        </w:tabs>
        <w:spacing w:line="276" w:lineRule="auto"/>
        <w:jc w:val="both"/>
        <w:rPr>
          <w:rFonts w:ascii="Arial" w:hAnsi="Arial" w:cs="Arial"/>
          <w:b/>
        </w:rPr>
      </w:pPr>
    </w:p>
    <w:p w:rsidR="00CA3FED" w:rsidRPr="00A755E4" w:rsidRDefault="00CF6069" w:rsidP="000A7BB6">
      <w:pPr>
        <w:tabs>
          <w:tab w:val="left" w:pos="0"/>
          <w:tab w:val="right" w:pos="8838"/>
        </w:tabs>
        <w:spacing w:line="276" w:lineRule="auto"/>
        <w:jc w:val="both"/>
        <w:rPr>
          <w:rFonts w:ascii="Arial" w:hAnsi="Arial" w:cs="Arial"/>
        </w:rPr>
      </w:pPr>
      <w:r>
        <w:rPr>
          <w:rFonts w:ascii="Arial" w:hAnsi="Arial" w:cs="Arial"/>
        </w:rPr>
        <w:t>No existe registro</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F53421" w:rsidRPr="00A755E4" w:rsidRDefault="00F53421" w:rsidP="000A7BB6">
      <w:pPr>
        <w:tabs>
          <w:tab w:val="left" w:pos="0"/>
          <w:tab w:val="right" w:pos="8838"/>
        </w:tabs>
        <w:spacing w:line="276" w:lineRule="auto"/>
        <w:jc w:val="both"/>
        <w:rPr>
          <w:rFonts w:ascii="Arial" w:hAnsi="Arial" w:cs="Arial"/>
          <w:b/>
        </w:rPr>
      </w:pPr>
    </w:p>
    <w:p w:rsidR="00723D25" w:rsidRPr="00A755E4" w:rsidRDefault="00723D25" w:rsidP="003D5B09">
      <w:pPr>
        <w:tabs>
          <w:tab w:val="left" w:pos="0"/>
          <w:tab w:val="right" w:pos="8838"/>
        </w:tabs>
        <w:spacing w:line="276" w:lineRule="auto"/>
        <w:jc w:val="both"/>
        <w:rPr>
          <w:rFonts w:ascii="Arial" w:hAnsi="Arial" w:cs="Arial"/>
          <w:b/>
        </w:rPr>
      </w:pPr>
    </w:p>
    <w:p w:rsidR="00331064" w:rsidRPr="00A755E4" w:rsidRDefault="000A7BB6" w:rsidP="003D5B09">
      <w:pPr>
        <w:tabs>
          <w:tab w:val="left" w:pos="0"/>
          <w:tab w:val="right" w:pos="8838"/>
        </w:tabs>
        <w:spacing w:line="276" w:lineRule="auto"/>
        <w:jc w:val="both"/>
        <w:rPr>
          <w:rFonts w:ascii="Arial" w:hAnsi="Arial" w:cs="Arial"/>
          <w:b/>
        </w:rPr>
      </w:pPr>
      <w:r w:rsidRPr="00A755E4">
        <w:rPr>
          <w:rFonts w:ascii="Arial" w:hAnsi="Arial" w:cs="Arial"/>
          <w:b/>
        </w:rPr>
        <w:t>Información cualitativa</w:t>
      </w:r>
    </w:p>
    <w:p w:rsidR="00462C1A" w:rsidRDefault="00462C1A" w:rsidP="003D5B09">
      <w:pPr>
        <w:tabs>
          <w:tab w:val="left" w:pos="0"/>
          <w:tab w:val="right" w:pos="8838"/>
        </w:tabs>
        <w:spacing w:line="276" w:lineRule="auto"/>
        <w:jc w:val="both"/>
        <w:rPr>
          <w:rFonts w:ascii="Arial" w:hAnsi="Arial" w:cs="Arial"/>
        </w:rPr>
      </w:pPr>
    </w:p>
    <w:p w:rsidR="00F336F8" w:rsidRDefault="00335DB5" w:rsidP="00B050FE">
      <w:pPr>
        <w:tabs>
          <w:tab w:val="left" w:pos="0"/>
          <w:tab w:val="right" w:pos="8838"/>
        </w:tabs>
        <w:spacing w:line="360" w:lineRule="auto"/>
        <w:jc w:val="both"/>
        <w:rPr>
          <w:rFonts w:ascii="Arial" w:hAnsi="Arial" w:cs="Arial"/>
        </w:rPr>
      </w:pPr>
      <w:r>
        <w:rPr>
          <w:rFonts w:ascii="Arial" w:hAnsi="Arial" w:cs="Arial"/>
        </w:rPr>
        <w:t>El mes de noviembre continuamos con las actividades del Modelo del CDM, trabajando con el grupo de mujeres de la localidad de Maltaraña.</w:t>
      </w:r>
    </w:p>
    <w:p w:rsidR="00335DB5" w:rsidRDefault="00335DB5" w:rsidP="00B050FE">
      <w:pPr>
        <w:tabs>
          <w:tab w:val="left" w:pos="0"/>
          <w:tab w:val="right" w:pos="8838"/>
        </w:tabs>
        <w:spacing w:line="360" w:lineRule="auto"/>
        <w:jc w:val="both"/>
        <w:rPr>
          <w:rFonts w:ascii="Arial" w:hAnsi="Arial" w:cs="Arial"/>
        </w:rPr>
      </w:pPr>
      <w:r>
        <w:rPr>
          <w:rFonts w:ascii="Arial" w:hAnsi="Arial" w:cs="Arial"/>
        </w:rPr>
        <w:t>Se siguió con el proceso de formación y acompañamiento con las mujeres participantes y lideresas, a las cuales se les brindaron capacitaciones y actividades para su desarrollo en la vida diaria y la obtención de diferentes herramientas para un mejor desenvolvimiento del mismo.</w:t>
      </w:r>
    </w:p>
    <w:p w:rsidR="00050A56" w:rsidRDefault="00050A56" w:rsidP="00B050FE">
      <w:pPr>
        <w:tabs>
          <w:tab w:val="left" w:pos="0"/>
          <w:tab w:val="right" w:pos="8838"/>
        </w:tabs>
        <w:spacing w:line="360" w:lineRule="auto"/>
        <w:jc w:val="both"/>
        <w:rPr>
          <w:rFonts w:ascii="Arial" w:hAnsi="Arial" w:cs="Arial"/>
        </w:rPr>
      </w:pPr>
      <w:r>
        <w:rPr>
          <w:rFonts w:ascii="Arial" w:hAnsi="Arial" w:cs="Arial"/>
        </w:rPr>
        <w:t>En esta ocasión,</w:t>
      </w:r>
      <w:r w:rsidR="00B050FE">
        <w:rPr>
          <w:rFonts w:ascii="Arial" w:hAnsi="Arial" w:cs="Arial"/>
        </w:rPr>
        <w:t xml:space="preserve"> se realizaron en general dos mesas de trabajo; una</w:t>
      </w:r>
      <w:r>
        <w:rPr>
          <w:rFonts w:ascii="Arial" w:hAnsi="Arial" w:cs="Arial"/>
        </w:rPr>
        <w:t xml:space="preserve"> a población abierta y una a personas con poder de decisión.</w:t>
      </w:r>
    </w:p>
    <w:p w:rsidR="00050A56" w:rsidRDefault="00050A56" w:rsidP="00B050FE">
      <w:pPr>
        <w:tabs>
          <w:tab w:val="left" w:pos="0"/>
          <w:tab w:val="right" w:pos="8838"/>
        </w:tabs>
        <w:spacing w:line="360" w:lineRule="auto"/>
        <w:jc w:val="both"/>
        <w:rPr>
          <w:rFonts w:ascii="Arial" w:hAnsi="Arial" w:cs="Arial"/>
        </w:rPr>
      </w:pPr>
      <w:r>
        <w:rPr>
          <w:rFonts w:ascii="Arial" w:hAnsi="Arial" w:cs="Arial"/>
        </w:rPr>
        <w:t xml:space="preserve">Con las mujeres participantes y lideresas en población abierta, se dio continuidad al proceso sustantivo, donde se prosiguió con capacitaciones a las mujeres en el proceso de formación y acompañamiento. Esto permite que las mujeres participantes y lideresas logren un desarrollo óptimo de conocimiento y habilidades para que logren arrancar con planes de acción que vayan enfocados </w:t>
      </w:r>
      <w:r w:rsidR="00D44D2C">
        <w:rPr>
          <w:rFonts w:ascii="Arial" w:hAnsi="Arial" w:cs="Arial"/>
        </w:rPr>
        <w:t>a un crecimiento como mujeres emprendedoras.</w:t>
      </w:r>
    </w:p>
    <w:p w:rsidR="00B050FE" w:rsidRDefault="00B050FE" w:rsidP="00B050FE">
      <w:pPr>
        <w:tabs>
          <w:tab w:val="left" w:pos="0"/>
          <w:tab w:val="right" w:pos="8838"/>
        </w:tabs>
        <w:spacing w:line="360" w:lineRule="auto"/>
        <w:jc w:val="both"/>
        <w:rPr>
          <w:rFonts w:ascii="Arial" w:hAnsi="Arial" w:cs="Arial"/>
        </w:rPr>
      </w:pPr>
      <w:r>
        <w:rPr>
          <w:rFonts w:ascii="Arial" w:hAnsi="Arial" w:cs="Arial"/>
        </w:rPr>
        <w:t>Se ha dado seguimiento por parte de las profesionistas a las sesiones informativas para que continúen con su aprendizaje y con la obtención de conocimiento sobre sensibilización de género, el conocimiento sobre sus derechos como mujeres, entre otros. Para brindarles herramientas y fortalecerles en su desarrollo.</w:t>
      </w:r>
    </w:p>
    <w:p w:rsidR="00B050FE" w:rsidRDefault="00B050FE" w:rsidP="00B050FE">
      <w:pPr>
        <w:tabs>
          <w:tab w:val="left" w:pos="0"/>
          <w:tab w:val="right" w:pos="8838"/>
        </w:tabs>
        <w:spacing w:line="360" w:lineRule="auto"/>
        <w:jc w:val="both"/>
        <w:rPr>
          <w:rFonts w:ascii="Arial" w:hAnsi="Arial" w:cs="Arial"/>
        </w:rPr>
      </w:pPr>
      <w:r>
        <w:rPr>
          <w:rFonts w:ascii="Arial" w:hAnsi="Arial" w:cs="Arial"/>
        </w:rPr>
        <w:t xml:space="preserve">Se les informó sobre la mesa de trabajo que las profesionistas tuvieron con personas con poder de decisión para tratar tema sobre las necesidades y problemáticas existentes en la delegación de Maltaraña y sus posibles soluciones. Una de las prioridades por las que se está tratando es la gestión de un vehículo de transporte público para la comunidad de Maltaraña que traerá algunas posibles </w:t>
      </w:r>
      <w:r>
        <w:rPr>
          <w:rFonts w:ascii="Arial" w:hAnsi="Arial" w:cs="Arial"/>
        </w:rPr>
        <w:lastRenderedPageBreak/>
        <w:t>soluciones para la comunidad y las mujeres que habitan en ella y se trasladan diariamente al exterior de la delegación.</w:t>
      </w:r>
    </w:p>
    <w:p w:rsidR="00F336F8" w:rsidRDefault="00F336F8" w:rsidP="006B101A">
      <w:pPr>
        <w:tabs>
          <w:tab w:val="left" w:pos="0"/>
          <w:tab w:val="right" w:pos="8838"/>
        </w:tabs>
        <w:spacing w:line="276" w:lineRule="auto"/>
        <w:jc w:val="both"/>
        <w:rPr>
          <w:rFonts w:ascii="Arial" w:hAnsi="Arial" w:cs="Arial"/>
        </w:rPr>
      </w:pPr>
    </w:p>
    <w:p w:rsidR="00462C1A" w:rsidRDefault="00B71002" w:rsidP="00B71002">
      <w:pPr>
        <w:tabs>
          <w:tab w:val="left" w:pos="0"/>
          <w:tab w:val="right" w:pos="8838"/>
        </w:tabs>
        <w:spacing w:line="360" w:lineRule="auto"/>
        <w:jc w:val="both"/>
        <w:rPr>
          <w:rFonts w:ascii="Arial" w:hAnsi="Arial" w:cs="Arial"/>
        </w:rPr>
      </w:pPr>
      <w:r>
        <w:rPr>
          <w:rFonts w:ascii="Arial" w:hAnsi="Arial" w:cs="Arial"/>
        </w:rPr>
        <w:t>Se mencionó que nos encontramos a la espera de la respuesta de las personas con poder de decisión, para continuar con los procesos del Modelo de CDM.</w:t>
      </w:r>
    </w:p>
    <w:p w:rsidR="00516A4B" w:rsidRDefault="00516A4B" w:rsidP="003D5B09">
      <w:pPr>
        <w:tabs>
          <w:tab w:val="left" w:pos="0"/>
          <w:tab w:val="right" w:pos="8838"/>
        </w:tabs>
        <w:spacing w:line="276" w:lineRule="auto"/>
        <w:jc w:val="both"/>
        <w:rPr>
          <w:rFonts w:ascii="Arial" w:hAnsi="Arial" w:cs="Arial"/>
        </w:rPr>
      </w:pPr>
    </w:p>
    <w:p w:rsidR="00F4151D" w:rsidRPr="00A755E4" w:rsidRDefault="00F4151D" w:rsidP="003D5B09">
      <w:pPr>
        <w:tabs>
          <w:tab w:val="left" w:pos="0"/>
          <w:tab w:val="right" w:pos="8838"/>
        </w:tabs>
        <w:spacing w:line="276" w:lineRule="auto"/>
        <w:jc w:val="both"/>
        <w:rPr>
          <w:rFonts w:ascii="Arial" w:hAnsi="Arial" w:cs="Arial"/>
        </w:rPr>
      </w:pPr>
    </w:p>
    <w:p w:rsidR="006C4D22" w:rsidRPr="00A755E4" w:rsidRDefault="000A7BB6" w:rsidP="00B71002">
      <w:pPr>
        <w:spacing w:after="240" w:line="360" w:lineRule="auto"/>
        <w:jc w:val="both"/>
        <w:rPr>
          <w:rFonts w:ascii="Arial" w:hAnsi="Arial" w:cs="Arial"/>
          <w:b/>
        </w:rPr>
      </w:pPr>
      <w:r w:rsidRPr="00A755E4">
        <w:rPr>
          <w:rFonts w:ascii="Arial" w:hAnsi="Arial" w:cs="Arial"/>
          <w:b/>
        </w:rPr>
        <w:t>ASESORÍAS</w:t>
      </w:r>
    </w:p>
    <w:p w:rsidR="00067E65" w:rsidRDefault="00B71002" w:rsidP="00B71002">
      <w:pPr>
        <w:spacing w:after="240" w:line="360" w:lineRule="auto"/>
        <w:jc w:val="both"/>
        <w:rPr>
          <w:rFonts w:ascii="Arial" w:hAnsi="Arial" w:cs="Arial"/>
        </w:rPr>
      </w:pPr>
      <w:r>
        <w:rPr>
          <w:rFonts w:ascii="Arial" w:hAnsi="Arial" w:cs="Arial"/>
        </w:rPr>
        <w:t>En el mes de noviembre acudieron algunas mujeres</w:t>
      </w:r>
      <w:r w:rsidR="00CF6069">
        <w:rPr>
          <w:rFonts w:ascii="Arial" w:hAnsi="Arial" w:cs="Arial"/>
        </w:rPr>
        <w:t xml:space="preserve"> por medio de llamada telefónica,</w:t>
      </w:r>
      <w:r>
        <w:rPr>
          <w:rFonts w:ascii="Arial" w:hAnsi="Arial" w:cs="Arial"/>
        </w:rPr>
        <w:t xml:space="preserve"> solicitando información y asesoría pero se negaron a proporcionar datos a la trabajadora social.</w:t>
      </w:r>
    </w:p>
    <w:p w:rsidR="00B71002" w:rsidRPr="00A755E4" w:rsidRDefault="00B71002" w:rsidP="00B71002">
      <w:pPr>
        <w:spacing w:after="240" w:line="360" w:lineRule="auto"/>
        <w:jc w:val="both"/>
        <w:rPr>
          <w:rFonts w:ascii="Arial" w:hAnsi="Arial" w:cs="Arial"/>
        </w:rPr>
      </w:pPr>
    </w:p>
    <w:p w:rsidR="00EC03AF" w:rsidRPr="00A755E4" w:rsidRDefault="000A7BB6" w:rsidP="00B71002">
      <w:pPr>
        <w:tabs>
          <w:tab w:val="left" w:pos="0"/>
        </w:tabs>
        <w:spacing w:line="360" w:lineRule="auto"/>
        <w:jc w:val="both"/>
        <w:rPr>
          <w:rFonts w:ascii="Arial" w:hAnsi="Arial" w:cs="Arial"/>
          <w:b/>
        </w:rPr>
      </w:pPr>
      <w:r w:rsidRPr="00A755E4">
        <w:rPr>
          <w:rFonts w:ascii="Arial" w:hAnsi="Arial" w:cs="Arial"/>
          <w:b/>
        </w:rPr>
        <w:t>CON</w:t>
      </w:r>
      <w:r w:rsidR="00A755E4" w:rsidRPr="00A755E4">
        <w:rPr>
          <w:rFonts w:ascii="Arial" w:hAnsi="Arial" w:cs="Arial"/>
          <w:b/>
        </w:rPr>
        <w:t>C</w:t>
      </w:r>
      <w:r w:rsidRPr="00A755E4">
        <w:rPr>
          <w:rFonts w:ascii="Arial" w:hAnsi="Arial" w:cs="Arial"/>
          <w:b/>
        </w:rPr>
        <w:t>LUSIONES Y RECOMENDACIONES</w:t>
      </w:r>
    </w:p>
    <w:p w:rsidR="00840A61" w:rsidRDefault="00840A61" w:rsidP="00B71002">
      <w:pPr>
        <w:tabs>
          <w:tab w:val="left" w:pos="0"/>
        </w:tabs>
        <w:spacing w:line="360" w:lineRule="auto"/>
        <w:jc w:val="both"/>
        <w:rPr>
          <w:rFonts w:ascii="Arial" w:hAnsi="Arial" w:cs="Arial"/>
          <w:b/>
        </w:rPr>
      </w:pPr>
    </w:p>
    <w:p w:rsidR="00B71002" w:rsidRDefault="00B71002" w:rsidP="00B71002">
      <w:pPr>
        <w:tabs>
          <w:tab w:val="left" w:pos="0"/>
        </w:tabs>
        <w:spacing w:line="360" w:lineRule="auto"/>
        <w:jc w:val="both"/>
        <w:rPr>
          <w:rFonts w:ascii="Arial" w:hAnsi="Arial" w:cs="Arial"/>
        </w:rPr>
      </w:pPr>
      <w:r>
        <w:rPr>
          <w:rFonts w:ascii="Arial" w:hAnsi="Arial" w:cs="Arial"/>
        </w:rPr>
        <w:t>Este mes se tuvo contacto con las personas con poder de decisión, se les presentó el proyecto. Se les indicó que se trabajo en estos meses con la comunidad de Maltaraña. Se realizó el diagnóstico participativo y se analizaron necesidades y problemáticas.</w:t>
      </w:r>
    </w:p>
    <w:p w:rsidR="00B71002" w:rsidRDefault="00B71002" w:rsidP="00B71002">
      <w:pPr>
        <w:tabs>
          <w:tab w:val="left" w:pos="0"/>
        </w:tabs>
        <w:spacing w:line="360" w:lineRule="auto"/>
        <w:jc w:val="both"/>
        <w:rPr>
          <w:rFonts w:ascii="Arial" w:hAnsi="Arial" w:cs="Arial"/>
        </w:rPr>
      </w:pPr>
      <w:r>
        <w:rPr>
          <w:rFonts w:ascii="Arial" w:hAnsi="Arial" w:cs="Arial"/>
        </w:rPr>
        <w:t xml:space="preserve">Después de un análisis y de las posibles soluciones presentadas, regidoras, regidores y presidente acordaron darnos respuesta. </w:t>
      </w:r>
    </w:p>
    <w:p w:rsidR="00B71002" w:rsidRDefault="00B71002" w:rsidP="00B71002">
      <w:pPr>
        <w:tabs>
          <w:tab w:val="left" w:pos="0"/>
        </w:tabs>
        <w:spacing w:line="360" w:lineRule="auto"/>
        <w:jc w:val="both"/>
        <w:rPr>
          <w:rFonts w:ascii="Arial" w:hAnsi="Arial" w:cs="Arial"/>
        </w:rPr>
      </w:pPr>
      <w:r>
        <w:rPr>
          <w:rFonts w:ascii="Arial" w:hAnsi="Arial" w:cs="Arial"/>
        </w:rPr>
        <w:t>El proyecto fue aceptado, solo estaremos al pendiente en el mes de diciembre y a principios de enero a la espera para llevar a cabo el funcionamiento del vehículo de transporte público. Se recomienda darle seguimiento para que se respeten los acuerdos a los que llegaron las profesionistas del CDM y la coordinadora con las personas con poder de decisión.</w:t>
      </w:r>
    </w:p>
    <w:p w:rsidR="00B71002" w:rsidRPr="00B71002" w:rsidRDefault="00B71002" w:rsidP="00B71002">
      <w:pPr>
        <w:tabs>
          <w:tab w:val="left" w:pos="0"/>
        </w:tabs>
        <w:spacing w:line="360" w:lineRule="auto"/>
        <w:jc w:val="both"/>
        <w:rPr>
          <w:rFonts w:ascii="Arial" w:hAnsi="Arial" w:cs="Arial"/>
        </w:rPr>
      </w:pPr>
    </w:p>
    <w:p w:rsidR="00B71002" w:rsidRPr="00A755E4" w:rsidRDefault="00B71002" w:rsidP="00F47233">
      <w:pPr>
        <w:tabs>
          <w:tab w:val="left" w:pos="0"/>
        </w:tabs>
        <w:jc w:val="both"/>
        <w:rPr>
          <w:rFonts w:ascii="Arial" w:hAnsi="Arial" w:cs="Arial"/>
          <w:b/>
        </w:rPr>
      </w:pPr>
    </w:p>
    <w:p w:rsidR="00067E65" w:rsidRDefault="00067E65" w:rsidP="00EC03AF">
      <w:pPr>
        <w:tabs>
          <w:tab w:val="left" w:pos="0"/>
        </w:tabs>
        <w:spacing w:line="276" w:lineRule="auto"/>
        <w:jc w:val="both"/>
        <w:rPr>
          <w:rFonts w:ascii="Arial" w:hAnsi="Arial" w:cs="Arial"/>
        </w:rPr>
      </w:pPr>
    </w:p>
    <w:p w:rsidR="00466291" w:rsidRPr="00A755E4" w:rsidRDefault="00466291" w:rsidP="008746B9">
      <w:pPr>
        <w:tabs>
          <w:tab w:val="left" w:pos="0"/>
        </w:tabs>
        <w:jc w:val="center"/>
        <w:rPr>
          <w:rFonts w:ascii="Arial" w:hAnsi="Arial" w:cs="Arial"/>
          <w:b/>
        </w:rPr>
      </w:pPr>
    </w:p>
    <w:p w:rsidR="00466291" w:rsidRPr="00A755E4" w:rsidRDefault="00466291" w:rsidP="008746B9">
      <w:pPr>
        <w:tabs>
          <w:tab w:val="left" w:pos="0"/>
        </w:tabs>
        <w:jc w:val="center"/>
        <w:rPr>
          <w:rFonts w:ascii="Arial" w:hAnsi="Arial" w:cs="Arial"/>
          <w:b/>
        </w:rPr>
      </w:pPr>
    </w:p>
    <w:p w:rsidR="00466291" w:rsidRPr="00A755E4" w:rsidRDefault="00466291" w:rsidP="003448B5">
      <w:pPr>
        <w:tabs>
          <w:tab w:val="left" w:pos="0"/>
        </w:tabs>
        <w:rPr>
          <w:rFonts w:ascii="Arial" w:hAnsi="Arial" w:cs="Arial"/>
          <w:b/>
        </w:rPr>
      </w:pPr>
    </w:p>
    <w:p w:rsidR="00F53421" w:rsidRPr="00A755E4" w:rsidRDefault="00F53421"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Default="00723D25" w:rsidP="00F47233">
      <w:pPr>
        <w:tabs>
          <w:tab w:val="left" w:pos="0"/>
        </w:tabs>
        <w:rPr>
          <w:rFonts w:ascii="Arial" w:hAnsi="Arial" w:cs="Arial"/>
          <w:b/>
        </w:rPr>
      </w:pPr>
    </w:p>
    <w:p w:rsidR="00F53421" w:rsidRPr="00A755E4" w:rsidRDefault="00F53421" w:rsidP="00CF6069">
      <w:pPr>
        <w:tabs>
          <w:tab w:val="left" w:pos="0"/>
        </w:tabs>
        <w:rPr>
          <w:rFonts w:ascii="Arial" w:hAnsi="Arial" w:cs="Arial"/>
          <w:b/>
        </w:rPr>
      </w:pPr>
    </w:p>
    <w:p w:rsidR="000A7BB6" w:rsidRPr="00A755E4" w:rsidRDefault="000A7BB6" w:rsidP="008746B9">
      <w:pPr>
        <w:tabs>
          <w:tab w:val="left" w:pos="0"/>
        </w:tabs>
        <w:jc w:val="center"/>
        <w:rPr>
          <w:rFonts w:ascii="Arial" w:hAnsi="Arial" w:cs="Arial"/>
          <w:b/>
        </w:rPr>
      </w:pPr>
      <w:r w:rsidRPr="00A755E4">
        <w:rPr>
          <w:rFonts w:ascii="Arial" w:hAnsi="Arial" w:cs="Arial"/>
          <w:b/>
        </w:rPr>
        <w:t>FIRMAS</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784C8E" w:rsidP="000A7BB6">
      <w:pPr>
        <w:tabs>
          <w:tab w:val="left" w:pos="0"/>
        </w:tabs>
        <w:jc w:val="center"/>
        <w:rPr>
          <w:rFonts w:ascii="Arial" w:hAnsi="Arial" w:cs="Arial"/>
          <w:b/>
        </w:rPr>
      </w:pPr>
      <w:r>
        <w:rPr>
          <w:rFonts w:ascii="Arial" w:hAnsi="Arial" w:cs="Arial"/>
          <w:b/>
        </w:rPr>
        <w:t xml:space="preserve">RESPONSABLE DEL </w:t>
      </w:r>
      <w:bookmarkStart w:id="0" w:name="_GoBack"/>
      <w:bookmarkEnd w:id="0"/>
      <w:r w:rsidR="000A7BB6" w:rsidRPr="00A755E4">
        <w:rPr>
          <w:rFonts w:ascii="Arial" w:hAnsi="Arial" w:cs="Arial"/>
          <w:b/>
        </w:rPr>
        <w:t xml:space="preserve"> CDM</w:t>
      </w:r>
    </w:p>
    <w:p w:rsidR="000A7BB6" w:rsidRPr="00A755E4" w:rsidRDefault="000A7BB6" w:rsidP="000A7BB6">
      <w:pPr>
        <w:tabs>
          <w:tab w:val="left" w:pos="0"/>
        </w:tabs>
        <w:jc w:val="center"/>
        <w:rPr>
          <w:rFonts w:ascii="Arial" w:hAnsi="Arial" w:cs="Arial"/>
          <w:b/>
        </w:rPr>
      </w:pPr>
    </w:p>
    <w:p w:rsidR="000A7BB6" w:rsidRPr="00A755E4" w:rsidRDefault="00500BEF" w:rsidP="000A7BB6">
      <w:pPr>
        <w:tabs>
          <w:tab w:val="left" w:pos="0"/>
        </w:tabs>
        <w:jc w:val="center"/>
        <w:rPr>
          <w:rFonts w:ascii="Arial" w:hAnsi="Arial" w:cs="Arial"/>
          <w:b/>
        </w:rPr>
      </w:pPr>
      <w:r w:rsidRPr="00A755E4">
        <w:rPr>
          <w:rFonts w:ascii="Arial" w:hAnsi="Arial" w:cs="Arial"/>
          <w:b/>
        </w:rPr>
        <w:t>Lic. ALEJANDRO CHAVEZ ZAMUDIO</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RESPONSABLES DE LA ELABORACIÓN</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11211C" w:rsidRDefault="00466291" w:rsidP="000A7BB6">
      <w:pPr>
        <w:tabs>
          <w:tab w:val="left" w:pos="0"/>
        </w:tabs>
        <w:jc w:val="center"/>
        <w:rPr>
          <w:rFonts w:ascii="Arial" w:hAnsi="Arial" w:cs="Arial"/>
          <w:b/>
        </w:rPr>
      </w:pPr>
      <w:r w:rsidRPr="00A755E4">
        <w:rPr>
          <w:rFonts w:ascii="Arial" w:hAnsi="Arial" w:cs="Arial"/>
          <w:b/>
        </w:rPr>
        <w:t>Psic</w:t>
      </w:r>
      <w:r w:rsidR="0011211C" w:rsidRPr="00A755E4">
        <w:rPr>
          <w:rFonts w:ascii="Arial" w:hAnsi="Arial" w:cs="Arial"/>
          <w:b/>
        </w:rPr>
        <w:t>. Ana María Godínez López</w:t>
      </w:r>
    </w:p>
    <w:p w:rsidR="004671C7" w:rsidRDefault="004671C7" w:rsidP="000A7BB6">
      <w:pPr>
        <w:tabs>
          <w:tab w:val="left" w:pos="0"/>
        </w:tabs>
        <w:jc w:val="center"/>
        <w:rPr>
          <w:rFonts w:ascii="Arial" w:hAnsi="Arial" w:cs="Arial"/>
          <w:b/>
        </w:rPr>
      </w:pPr>
      <w:r>
        <w:rPr>
          <w:rFonts w:ascii="Arial" w:hAnsi="Arial" w:cs="Arial"/>
          <w:b/>
        </w:rPr>
        <w:t>Psic. Ma Guadalupe Navarro Cervantes</w:t>
      </w:r>
    </w:p>
    <w:p w:rsidR="00CF6069" w:rsidRDefault="00CF6069" w:rsidP="000A7BB6">
      <w:pPr>
        <w:tabs>
          <w:tab w:val="left" w:pos="0"/>
        </w:tabs>
        <w:jc w:val="center"/>
        <w:rPr>
          <w:rFonts w:ascii="Arial" w:hAnsi="Arial" w:cs="Arial"/>
          <w:b/>
        </w:rPr>
      </w:pPr>
      <w:r>
        <w:rPr>
          <w:rFonts w:ascii="Arial" w:hAnsi="Arial" w:cs="Arial"/>
          <w:b/>
        </w:rPr>
        <w:t>Lic. Guadalupe López Quevedo</w:t>
      </w:r>
    </w:p>
    <w:p w:rsidR="004671C7" w:rsidRDefault="004671C7" w:rsidP="000A7BB6">
      <w:pPr>
        <w:tabs>
          <w:tab w:val="left" w:pos="0"/>
        </w:tabs>
        <w:jc w:val="center"/>
        <w:rPr>
          <w:rFonts w:ascii="Arial" w:hAnsi="Arial" w:cs="Arial"/>
          <w:b/>
        </w:rPr>
      </w:pPr>
    </w:p>
    <w:p w:rsidR="000A7BB6" w:rsidRDefault="000A7BB6" w:rsidP="000A7BB6">
      <w:pPr>
        <w:spacing w:line="276" w:lineRule="auto"/>
        <w:jc w:val="both"/>
        <w:rPr>
          <w:rFonts w:ascii="Arial" w:hAnsi="Arial" w:cs="Arial"/>
        </w:rPr>
      </w:pPr>
    </w:p>
    <w:p w:rsidR="000A7BB6" w:rsidRDefault="000A7BB6" w:rsidP="000A7BB6">
      <w:pPr>
        <w:spacing w:line="276" w:lineRule="auto"/>
        <w:jc w:val="both"/>
        <w:rPr>
          <w:rFonts w:ascii="Arial" w:hAnsi="Arial" w:cs="Arial"/>
        </w:rPr>
      </w:pPr>
    </w:p>
    <w:p w:rsidR="000A7BB6" w:rsidRDefault="000A7BB6" w:rsidP="000A7BB6"/>
    <w:p w:rsidR="000A7BB6" w:rsidRDefault="000A7BB6" w:rsidP="000A7BB6"/>
    <w:p w:rsidR="000A7BB6" w:rsidRDefault="000A7BB6" w:rsidP="000A7BB6"/>
    <w:p w:rsidR="000A7BB6" w:rsidRDefault="000A7BB6"/>
    <w:sectPr w:rsidR="000A7BB6" w:rsidSect="00502BE2">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BE0" w:rsidRDefault="00524BE0" w:rsidP="000A7BB6">
      <w:r>
        <w:separator/>
      </w:r>
    </w:p>
  </w:endnote>
  <w:endnote w:type="continuationSeparator" w:id="0">
    <w:p w:rsidR="00524BE0" w:rsidRDefault="00524BE0" w:rsidP="000A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MS Shell Dlg 2">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6D" w:rsidRDefault="0000126D" w:rsidP="000A7BB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0126D" w:rsidRDefault="000012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BE0" w:rsidRDefault="00524BE0" w:rsidP="000A7BB6">
      <w:r>
        <w:separator/>
      </w:r>
    </w:p>
  </w:footnote>
  <w:footnote w:type="continuationSeparator" w:id="0">
    <w:p w:rsidR="00524BE0" w:rsidRDefault="00524BE0" w:rsidP="000A7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6D" w:rsidRDefault="0000126D" w:rsidP="000A7BB6">
    <w:pPr>
      <w:pStyle w:val="Encabezado"/>
    </w:pPr>
    <w:r>
      <w:rPr>
        <w:b/>
        <w:noProof/>
        <w:color w:val="000000"/>
        <w:lang w:val="es-MX" w:eastAsia="es-MX"/>
      </w:rPr>
      <w:drawing>
        <wp:inline distT="0" distB="0" distL="0" distR="0">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00126D" w:rsidRDefault="0000126D" w:rsidP="000A7BB6">
    <w:pPr>
      <w:pStyle w:val="Encabezado"/>
    </w:pPr>
  </w:p>
  <w:p w:rsidR="0000126D" w:rsidRDefault="000012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7BB6"/>
    <w:rsid w:val="0000126D"/>
    <w:rsid w:val="00001B33"/>
    <w:rsid w:val="00045E36"/>
    <w:rsid w:val="00050A56"/>
    <w:rsid w:val="000510FE"/>
    <w:rsid w:val="00051682"/>
    <w:rsid w:val="00056F81"/>
    <w:rsid w:val="00064EDB"/>
    <w:rsid w:val="00067E65"/>
    <w:rsid w:val="000929A0"/>
    <w:rsid w:val="00094703"/>
    <w:rsid w:val="000A7BB6"/>
    <w:rsid w:val="000B236B"/>
    <w:rsid w:val="000C3E91"/>
    <w:rsid w:val="000D0EC6"/>
    <w:rsid w:val="000E1162"/>
    <w:rsid w:val="000E1CDE"/>
    <w:rsid w:val="000E5005"/>
    <w:rsid w:val="000F5AE2"/>
    <w:rsid w:val="001003F4"/>
    <w:rsid w:val="0011211C"/>
    <w:rsid w:val="00124EAF"/>
    <w:rsid w:val="00134886"/>
    <w:rsid w:val="001772FC"/>
    <w:rsid w:val="001857AA"/>
    <w:rsid w:val="00187DF3"/>
    <w:rsid w:val="001934E9"/>
    <w:rsid w:val="00196236"/>
    <w:rsid w:val="001A7C2A"/>
    <w:rsid w:val="001B15D7"/>
    <w:rsid w:val="001E17A5"/>
    <w:rsid w:val="001E5247"/>
    <w:rsid w:val="0020750C"/>
    <w:rsid w:val="002217EF"/>
    <w:rsid w:val="0023285E"/>
    <w:rsid w:val="00234DD7"/>
    <w:rsid w:val="00256AC7"/>
    <w:rsid w:val="00262969"/>
    <w:rsid w:val="00265DD2"/>
    <w:rsid w:val="00270B0F"/>
    <w:rsid w:val="00286F79"/>
    <w:rsid w:val="002945A9"/>
    <w:rsid w:val="002A4639"/>
    <w:rsid w:val="002A6C25"/>
    <w:rsid w:val="002B3D3A"/>
    <w:rsid w:val="002B5F72"/>
    <w:rsid w:val="002C0758"/>
    <w:rsid w:val="002C357D"/>
    <w:rsid w:val="002F284A"/>
    <w:rsid w:val="002F4177"/>
    <w:rsid w:val="003069A4"/>
    <w:rsid w:val="003131B4"/>
    <w:rsid w:val="00315188"/>
    <w:rsid w:val="00316408"/>
    <w:rsid w:val="00331064"/>
    <w:rsid w:val="00335DB5"/>
    <w:rsid w:val="003448B5"/>
    <w:rsid w:val="00346EEF"/>
    <w:rsid w:val="00353B25"/>
    <w:rsid w:val="003644DF"/>
    <w:rsid w:val="003A5FD1"/>
    <w:rsid w:val="003A71A7"/>
    <w:rsid w:val="003C7FD1"/>
    <w:rsid w:val="003D44FA"/>
    <w:rsid w:val="003D5B09"/>
    <w:rsid w:val="003E6435"/>
    <w:rsid w:val="003F271F"/>
    <w:rsid w:val="003F3AF8"/>
    <w:rsid w:val="004067EC"/>
    <w:rsid w:val="00422C78"/>
    <w:rsid w:val="00426B45"/>
    <w:rsid w:val="004408F4"/>
    <w:rsid w:val="00450594"/>
    <w:rsid w:val="00462C1A"/>
    <w:rsid w:val="00466291"/>
    <w:rsid w:val="004671C7"/>
    <w:rsid w:val="00486FB2"/>
    <w:rsid w:val="004917F4"/>
    <w:rsid w:val="00491D51"/>
    <w:rsid w:val="004948BF"/>
    <w:rsid w:val="00495F74"/>
    <w:rsid w:val="004969E5"/>
    <w:rsid w:val="004B284F"/>
    <w:rsid w:val="004B3773"/>
    <w:rsid w:val="004C6964"/>
    <w:rsid w:val="004D12DA"/>
    <w:rsid w:val="004D20CD"/>
    <w:rsid w:val="004D3591"/>
    <w:rsid w:val="004D70D1"/>
    <w:rsid w:val="004F319A"/>
    <w:rsid w:val="004F766B"/>
    <w:rsid w:val="00500BEF"/>
    <w:rsid w:val="005016EF"/>
    <w:rsid w:val="00502BE2"/>
    <w:rsid w:val="00516A4B"/>
    <w:rsid w:val="00524BE0"/>
    <w:rsid w:val="00560006"/>
    <w:rsid w:val="00566C39"/>
    <w:rsid w:val="005722AA"/>
    <w:rsid w:val="005B03A3"/>
    <w:rsid w:val="005B45D0"/>
    <w:rsid w:val="005C27A7"/>
    <w:rsid w:val="005C55FA"/>
    <w:rsid w:val="005D0A6F"/>
    <w:rsid w:val="0060228C"/>
    <w:rsid w:val="006046D6"/>
    <w:rsid w:val="00606E5A"/>
    <w:rsid w:val="006168B1"/>
    <w:rsid w:val="00616A05"/>
    <w:rsid w:val="006278E3"/>
    <w:rsid w:val="00634ABC"/>
    <w:rsid w:val="00637ED0"/>
    <w:rsid w:val="00652934"/>
    <w:rsid w:val="00654504"/>
    <w:rsid w:val="00655E45"/>
    <w:rsid w:val="0065719C"/>
    <w:rsid w:val="006643C0"/>
    <w:rsid w:val="006746B8"/>
    <w:rsid w:val="0067756C"/>
    <w:rsid w:val="0068083E"/>
    <w:rsid w:val="00684E96"/>
    <w:rsid w:val="006B101A"/>
    <w:rsid w:val="006B455B"/>
    <w:rsid w:val="006B7A4B"/>
    <w:rsid w:val="006C2D3E"/>
    <w:rsid w:val="006C4D22"/>
    <w:rsid w:val="006D18C0"/>
    <w:rsid w:val="006D3BAD"/>
    <w:rsid w:val="006E4348"/>
    <w:rsid w:val="006F03F7"/>
    <w:rsid w:val="006F312B"/>
    <w:rsid w:val="006F6BD1"/>
    <w:rsid w:val="00713742"/>
    <w:rsid w:val="00723D25"/>
    <w:rsid w:val="00754F90"/>
    <w:rsid w:val="00764C37"/>
    <w:rsid w:val="007703F0"/>
    <w:rsid w:val="00771186"/>
    <w:rsid w:val="0077334B"/>
    <w:rsid w:val="00775C99"/>
    <w:rsid w:val="00775E9A"/>
    <w:rsid w:val="00777A3A"/>
    <w:rsid w:val="00784C8E"/>
    <w:rsid w:val="007A7C28"/>
    <w:rsid w:val="007D1361"/>
    <w:rsid w:val="007D514F"/>
    <w:rsid w:val="007D7BFB"/>
    <w:rsid w:val="00822C8A"/>
    <w:rsid w:val="008238EC"/>
    <w:rsid w:val="0082607F"/>
    <w:rsid w:val="00834E9E"/>
    <w:rsid w:val="00840A61"/>
    <w:rsid w:val="008424DC"/>
    <w:rsid w:val="00844DC6"/>
    <w:rsid w:val="00862DBD"/>
    <w:rsid w:val="00871480"/>
    <w:rsid w:val="008746B9"/>
    <w:rsid w:val="00874D74"/>
    <w:rsid w:val="008801DE"/>
    <w:rsid w:val="0089799F"/>
    <w:rsid w:val="008A0A68"/>
    <w:rsid w:val="008A6E2C"/>
    <w:rsid w:val="008B05B3"/>
    <w:rsid w:val="008D2293"/>
    <w:rsid w:val="00903AE9"/>
    <w:rsid w:val="0090517F"/>
    <w:rsid w:val="00916839"/>
    <w:rsid w:val="009237C1"/>
    <w:rsid w:val="0094515A"/>
    <w:rsid w:val="009557BC"/>
    <w:rsid w:val="009569FB"/>
    <w:rsid w:val="0096338C"/>
    <w:rsid w:val="009746EF"/>
    <w:rsid w:val="00975554"/>
    <w:rsid w:val="00983DD5"/>
    <w:rsid w:val="00986CE1"/>
    <w:rsid w:val="00987C18"/>
    <w:rsid w:val="00987C76"/>
    <w:rsid w:val="00987F3F"/>
    <w:rsid w:val="009A3F1B"/>
    <w:rsid w:val="009A7F4B"/>
    <w:rsid w:val="009B4348"/>
    <w:rsid w:val="009B4F26"/>
    <w:rsid w:val="009D0382"/>
    <w:rsid w:val="009F56DD"/>
    <w:rsid w:val="00A04D6B"/>
    <w:rsid w:val="00A07D1D"/>
    <w:rsid w:val="00A14C09"/>
    <w:rsid w:val="00A313A6"/>
    <w:rsid w:val="00A36649"/>
    <w:rsid w:val="00A476B3"/>
    <w:rsid w:val="00A53F57"/>
    <w:rsid w:val="00A54A86"/>
    <w:rsid w:val="00A578FA"/>
    <w:rsid w:val="00A624E8"/>
    <w:rsid w:val="00A63337"/>
    <w:rsid w:val="00A67C3D"/>
    <w:rsid w:val="00A72A84"/>
    <w:rsid w:val="00A73E18"/>
    <w:rsid w:val="00A755E4"/>
    <w:rsid w:val="00A763CA"/>
    <w:rsid w:val="00AA2C82"/>
    <w:rsid w:val="00AB20B5"/>
    <w:rsid w:val="00AB4360"/>
    <w:rsid w:val="00AC337B"/>
    <w:rsid w:val="00AC7884"/>
    <w:rsid w:val="00AD04ED"/>
    <w:rsid w:val="00AD6440"/>
    <w:rsid w:val="00AE506F"/>
    <w:rsid w:val="00AE5D48"/>
    <w:rsid w:val="00AE702E"/>
    <w:rsid w:val="00AF1DAE"/>
    <w:rsid w:val="00AF26E7"/>
    <w:rsid w:val="00AF2F36"/>
    <w:rsid w:val="00B050FE"/>
    <w:rsid w:val="00B124DE"/>
    <w:rsid w:val="00B15DAB"/>
    <w:rsid w:val="00B17A15"/>
    <w:rsid w:val="00B20E78"/>
    <w:rsid w:val="00B30125"/>
    <w:rsid w:val="00B40251"/>
    <w:rsid w:val="00B4487D"/>
    <w:rsid w:val="00B452FD"/>
    <w:rsid w:val="00B71002"/>
    <w:rsid w:val="00B7676C"/>
    <w:rsid w:val="00B80576"/>
    <w:rsid w:val="00B872A5"/>
    <w:rsid w:val="00B96CD8"/>
    <w:rsid w:val="00BB04B8"/>
    <w:rsid w:val="00BB1CC7"/>
    <w:rsid w:val="00BB5CCF"/>
    <w:rsid w:val="00BB61C8"/>
    <w:rsid w:val="00BC1A1F"/>
    <w:rsid w:val="00BE14B0"/>
    <w:rsid w:val="00C129E4"/>
    <w:rsid w:val="00C20BC1"/>
    <w:rsid w:val="00C21819"/>
    <w:rsid w:val="00C365F0"/>
    <w:rsid w:val="00C52BF8"/>
    <w:rsid w:val="00C52F72"/>
    <w:rsid w:val="00C84BA0"/>
    <w:rsid w:val="00C958C3"/>
    <w:rsid w:val="00CA3FED"/>
    <w:rsid w:val="00CB4270"/>
    <w:rsid w:val="00CB611D"/>
    <w:rsid w:val="00CD1A47"/>
    <w:rsid w:val="00CD38BB"/>
    <w:rsid w:val="00CE248A"/>
    <w:rsid w:val="00CE2E28"/>
    <w:rsid w:val="00CE441C"/>
    <w:rsid w:val="00CF6069"/>
    <w:rsid w:val="00CF7782"/>
    <w:rsid w:val="00D06883"/>
    <w:rsid w:val="00D07C72"/>
    <w:rsid w:val="00D208E7"/>
    <w:rsid w:val="00D21950"/>
    <w:rsid w:val="00D23C16"/>
    <w:rsid w:val="00D32FF9"/>
    <w:rsid w:val="00D44D2C"/>
    <w:rsid w:val="00D70636"/>
    <w:rsid w:val="00D76DD7"/>
    <w:rsid w:val="00D77038"/>
    <w:rsid w:val="00D90A5C"/>
    <w:rsid w:val="00DA3420"/>
    <w:rsid w:val="00DB327D"/>
    <w:rsid w:val="00DB3AF9"/>
    <w:rsid w:val="00DB3BF8"/>
    <w:rsid w:val="00DB3C21"/>
    <w:rsid w:val="00DB5BA3"/>
    <w:rsid w:val="00DC39A2"/>
    <w:rsid w:val="00DC6924"/>
    <w:rsid w:val="00DD663E"/>
    <w:rsid w:val="00DE4FCB"/>
    <w:rsid w:val="00DF6F80"/>
    <w:rsid w:val="00DF7962"/>
    <w:rsid w:val="00E15DB8"/>
    <w:rsid w:val="00E27223"/>
    <w:rsid w:val="00E2734C"/>
    <w:rsid w:val="00E27E0F"/>
    <w:rsid w:val="00E30B81"/>
    <w:rsid w:val="00E378D1"/>
    <w:rsid w:val="00E4283C"/>
    <w:rsid w:val="00E50E6E"/>
    <w:rsid w:val="00E51692"/>
    <w:rsid w:val="00E52AC0"/>
    <w:rsid w:val="00E56A61"/>
    <w:rsid w:val="00E61528"/>
    <w:rsid w:val="00E63E00"/>
    <w:rsid w:val="00E6754A"/>
    <w:rsid w:val="00E7242E"/>
    <w:rsid w:val="00E74116"/>
    <w:rsid w:val="00E9392C"/>
    <w:rsid w:val="00EC03AF"/>
    <w:rsid w:val="00EC76DE"/>
    <w:rsid w:val="00ED1947"/>
    <w:rsid w:val="00EE195F"/>
    <w:rsid w:val="00EE250E"/>
    <w:rsid w:val="00EF4EFE"/>
    <w:rsid w:val="00EF62BA"/>
    <w:rsid w:val="00EF6E1A"/>
    <w:rsid w:val="00F12C65"/>
    <w:rsid w:val="00F2338F"/>
    <w:rsid w:val="00F3127F"/>
    <w:rsid w:val="00F336F8"/>
    <w:rsid w:val="00F4151D"/>
    <w:rsid w:val="00F43FE2"/>
    <w:rsid w:val="00F47233"/>
    <w:rsid w:val="00F53421"/>
    <w:rsid w:val="00F6110E"/>
    <w:rsid w:val="00F669D6"/>
    <w:rsid w:val="00F96F49"/>
    <w:rsid w:val="00FA4082"/>
    <w:rsid w:val="00FB3FDB"/>
    <w:rsid w:val="00FC0573"/>
    <w:rsid w:val="00FC5014"/>
    <w:rsid w:val="00FC7D09"/>
    <w:rsid w:val="00FD26B8"/>
    <w:rsid w:val="00FD6CB6"/>
    <w:rsid w:val="00FE020F"/>
    <w:rsid w:val="00FF7B4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BB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7BB6"/>
    <w:pPr>
      <w:tabs>
        <w:tab w:val="center" w:pos="4419"/>
        <w:tab w:val="right" w:pos="8838"/>
      </w:tabs>
    </w:pPr>
  </w:style>
  <w:style w:type="character" w:customStyle="1" w:styleId="EncabezadoCar">
    <w:name w:val="Encabezado Car"/>
    <w:basedOn w:val="Fuentedeprrafopredeter"/>
    <w:link w:val="Encabezado"/>
    <w:uiPriority w:val="99"/>
    <w:rsid w:val="000A7BB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A7BB6"/>
    <w:pPr>
      <w:tabs>
        <w:tab w:val="center" w:pos="4419"/>
        <w:tab w:val="right" w:pos="8838"/>
      </w:tabs>
    </w:pPr>
  </w:style>
  <w:style w:type="character" w:customStyle="1" w:styleId="PiedepginaCar">
    <w:name w:val="Pie de página Car"/>
    <w:basedOn w:val="Fuentedeprrafopredeter"/>
    <w:link w:val="Piedepgina"/>
    <w:uiPriority w:val="99"/>
    <w:rsid w:val="000A7BB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510FE"/>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0FE"/>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72862">
      <w:bodyDiv w:val="1"/>
      <w:marLeft w:val="0"/>
      <w:marRight w:val="0"/>
      <w:marTop w:val="0"/>
      <w:marBottom w:val="0"/>
      <w:divBdr>
        <w:top w:val="none" w:sz="0" w:space="0" w:color="auto"/>
        <w:left w:val="none" w:sz="0" w:space="0" w:color="auto"/>
        <w:bottom w:val="none" w:sz="0" w:space="0" w:color="auto"/>
        <w:right w:val="none" w:sz="0" w:space="0" w:color="auto"/>
      </w:divBdr>
    </w:div>
    <w:div w:id="689994292">
      <w:bodyDiv w:val="1"/>
      <w:marLeft w:val="0"/>
      <w:marRight w:val="0"/>
      <w:marTop w:val="0"/>
      <w:marBottom w:val="0"/>
      <w:divBdr>
        <w:top w:val="none" w:sz="0" w:space="0" w:color="auto"/>
        <w:left w:val="none" w:sz="0" w:space="0" w:color="auto"/>
        <w:bottom w:val="none" w:sz="0" w:space="0" w:color="auto"/>
        <w:right w:val="none" w:sz="0" w:space="0" w:color="auto"/>
      </w:divBdr>
    </w:div>
    <w:div w:id="1520126106">
      <w:bodyDiv w:val="1"/>
      <w:marLeft w:val="0"/>
      <w:marRight w:val="0"/>
      <w:marTop w:val="0"/>
      <w:marBottom w:val="0"/>
      <w:divBdr>
        <w:top w:val="none" w:sz="0" w:space="0" w:color="auto"/>
        <w:left w:val="none" w:sz="0" w:space="0" w:color="auto"/>
        <w:bottom w:val="none" w:sz="0" w:space="0" w:color="auto"/>
        <w:right w:val="none" w:sz="0" w:space="0" w:color="auto"/>
      </w:divBdr>
    </w:div>
    <w:div w:id="20835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hart" Target="charts/chart15.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chart" Target="charts/chart10.xml"/><Relationship Id="rId20" Type="http://schemas.openxmlformats.org/officeDocument/2006/relationships/chart" Target="charts/chart14.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10" Type="http://schemas.openxmlformats.org/officeDocument/2006/relationships/chart" Target="charts/chart4.xml"/><Relationship Id="rId19" Type="http://schemas.openxmlformats.org/officeDocument/2006/relationships/chart" Target="charts/chart1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D528-4513-9AE7-1B423DC1C210}"/>
            </c:ext>
          </c:extLst>
        </c:ser>
        <c:ser>
          <c:idx val="1"/>
          <c:order val="1"/>
          <c:tx>
            <c:strRef>
              <c:f>Hoja1!$C$1</c:f>
              <c:strCache>
                <c:ptCount val="1"/>
                <c:pt idx="0">
                  <c:v>Taller Violencia contra la Mujer</c:v>
                </c:pt>
              </c:strCache>
            </c:strRef>
          </c:tx>
          <c:spPr>
            <a:solidFill>
              <a:srgbClr val="00CC0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D528-4513-9AE7-1B423DC1C210}"/>
            </c:ext>
          </c:extLst>
        </c:ser>
        <c:ser>
          <c:idx val="2"/>
          <c:order val="2"/>
          <c:tx>
            <c:strRef>
              <c:f>Hoja1!$D$1</c:f>
              <c:strCache>
                <c:ptCount val="1"/>
                <c:pt idx="0">
                  <c:v>Taller de Políticas Públicas</c:v>
                </c:pt>
              </c:strCache>
            </c:strRef>
          </c:tx>
          <c:spPr>
            <a:solidFill>
              <a:srgbClr val="006666"/>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D528-4513-9AE7-1B423DC1C210}"/>
            </c:ext>
          </c:extLst>
        </c:ser>
        <c:ser>
          <c:idx val="3"/>
          <c:order val="3"/>
          <c:tx>
            <c:strRef>
              <c:f>Hoja1!$E$1</c:f>
              <c:strCache>
                <c:ptCount val="1"/>
                <c:pt idx="0">
                  <c:v>Mesa de Trabajo</c:v>
                </c:pt>
              </c:strCache>
            </c:strRef>
          </c:tx>
          <c:spPr>
            <a:solidFill>
              <a:srgbClr val="660066"/>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1</c:v>
                </c:pt>
                <c:pt idx="1">
                  <c:v>0</c:v>
                </c:pt>
                <c:pt idx="2">
                  <c:v>0</c:v>
                </c:pt>
                <c:pt idx="3">
                  <c:v>1</c:v>
                </c:pt>
                <c:pt idx="4">
                  <c:v>0</c:v>
                </c:pt>
              </c:numCache>
            </c:numRef>
          </c:val>
          <c:extLst xmlns:c16r2="http://schemas.microsoft.com/office/drawing/2015/06/chart">
            <c:ext xmlns:c16="http://schemas.microsoft.com/office/drawing/2014/chart" uri="{C3380CC4-5D6E-409C-BE32-E72D297353CC}">
              <c16:uniqueId val="{00000003-D528-4513-9AE7-1B423DC1C210}"/>
            </c:ext>
          </c:extLst>
        </c:ser>
        <c:dLbls>
          <c:showLegendKey val="0"/>
          <c:showVal val="0"/>
          <c:showCatName val="0"/>
          <c:showSerName val="0"/>
          <c:showPercent val="0"/>
          <c:showBubbleSize val="0"/>
        </c:dLbls>
        <c:gapWidth val="150"/>
        <c:shape val="box"/>
        <c:axId val="113667456"/>
        <c:axId val="113677440"/>
        <c:axId val="0"/>
      </c:bar3DChart>
      <c:catAx>
        <c:axId val="113667456"/>
        <c:scaling>
          <c:orientation val="minMax"/>
        </c:scaling>
        <c:delete val="0"/>
        <c:axPos val="l"/>
        <c:numFmt formatCode="General" sourceLinked="0"/>
        <c:majorTickMark val="none"/>
        <c:minorTickMark val="none"/>
        <c:tickLblPos val="nextTo"/>
        <c:txPr>
          <a:bodyPr/>
          <a:lstStyle/>
          <a:p>
            <a:pPr>
              <a:defRPr lang="es-ES"/>
            </a:pPr>
            <a:endParaRPr lang="es-MX"/>
          </a:p>
        </c:txPr>
        <c:crossAx val="113677440"/>
        <c:crosses val="autoZero"/>
        <c:auto val="1"/>
        <c:lblAlgn val="ctr"/>
        <c:lblOffset val="100"/>
        <c:noMultiLvlLbl val="0"/>
      </c:catAx>
      <c:valAx>
        <c:axId val="11367744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1366745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Estado</a:t>
            </a:r>
            <a:r>
              <a:rPr lang="es-MX" baseline="0"/>
              <a:t> Civil</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0EFA-4138-A363-C08C45ECFA08}"/>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1-0EFA-4138-A363-C08C45ECFA08}"/>
            </c:ext>
          </c:extLst>
        </c:ser>
        <c:dLbls>
          <c:showLegendKey val="0"/>
          <c:showVal val="0"/>
          <c:showCatName val="0"/>
          <c:showSerName val="0"/>
          <c:showPercent val="0"/>
          <c:showBubbleSize val="0"/>
        </c:dLbls>
        <c:gapWidth val="150"/>
        <c:shape val="box"/>
        <c:axId val="140368896"/>
        <c:axId val="140444416"/>
        <c:axId val="0"/>
      </c:bar3DChart>
      <c:catAx>
        <c:axId val="140368896"/>
        <c:scaling>
          <c:orientation val="minMax"/>
        </c:scaling>
        <c:delete val="0"/>
        <c:axPos val="b"/>
        <c:numFmt formatCode="General" sourceLinked="0"/>
        <c:majorTickMark val="none"/>
        <c:minorTickMark val="none"/>
        <c:tickLblPos val="nextTo"/>
        <c:txPr>
          <a:bodyPr/>
          <a:lstStyle/>
          <a:p>
            <a:pPr>
              <a:defRPr lang="es-ES"/>
            </a:pPr>
            <a:endParaRPr lang="es-MX"/>
          </a:p>
        </c:txPr>
        <c:crossAx val="140444416"/>
        <c:crosses val="autoZero"/>
        <c:auto val="1"/>
        <c:lblAlgn val="ctr"/>
        <c:lblOffset val="100"/>
        <c:noMultiLvlLbl val="0"/>
      </c:catAx>
      <c:valAx>
        <c:axId val="14044441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36889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Ocupación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7320-4834-A53A-AEFE99B4A9A8}"/>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1-7320-4834-A53A-AEFE99B4A9A8}"/>
            </c:ext>
          </c:extLst>
        </c:ser>
        <c:dLbls>
          <c:showLegendKey val="0"/>
          <c:showVal val="0"/>
          <c:showCatName val="0"/>
          <c:showSerName val="0"/>
          <c:showPercent val="0"/>
          <c:showBubbleSize val="0"/>
        </c:dLbls>
        <c:gapWidth val="150"/>
        <c:shape val="box"/>
        <c:axId val="140471296"/>
        <c:axId val="140473088"/>
        <c:axId val="0"/>
      </c:bar3DChart>
      <c:catAx>
        <c:axId val="140471296"/>
        <c:scaling>
          <c:orientation val="minMax"/>
        </c:scaling>
        <c:delete val="0"/>
        <c:axPos val="b"/>
        <c:numFmt formatCode="General" sourceLinked="0"/>
        <c:majorTickMark val="none"/>
        <c:minorTickMark val="none"/>
        <c:tickLblPos val="nextTo"/>
        <c:txPr>
          <a:bodyPr/>
          <a:lstStyle/>
          <a:p>
            <a:pPr>
              <a:defRPr lang="es-ES"/>
            </a:pPr>
            <a:endParaRPr lang="es-MX"/>
          </a:p>
        </c:txPr>
        <c:crossAx val="140473088"/>
        <c:crosses val="autoZero"/>
        <c:auto val="1"/>
        <c:lblAlgn val="ctr"/>
        <c:lblOffset val="100"/>
        <c:noMultiLvlLbl val="0"/>
      </c:catAx>
      <c:valAx>
        <c:axId val="14047308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47129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Población</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51A-4FC5-9186-7CFA12EA16D7}"/>
            </c:ext>
          </c:extLst>
        </c:ser>
        <c:ser>
          <c:idx val="1"/>
          <c:order val="1"/>
          <c:tx>
            <c:strRef>
              <c:f>Hoja1!$C$1</c:f>
              <c:strCache>
                <c:ptCount val="1"/>
                <c:pt idx="0">
                  <c:v>MUJERES</c:v>
                </c:pt>
              </c:strCache>
            </c:strRef>
          </c:tx>
          <c:spPr>
            <a:solidFill>
              <a:srgbClr val="006666"/>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C51A-4FC5-9186-7CFA12EA16D7}"/>
            </c:ext>
          </c:extLst>
        </c:ser>
        <c:dLbls>
          <c:showLegendKey val="0"/>
          <c:showVal val="0"/>
          <c:showCatName val="0"/>
          <c:showSerName val="0"/>
          <c:showPercent val="0"/>
          <c:showBubbleSize val="0"/>
        </c:dLbls>
        <c:gapWidth val="150"/>
        <c:shape val="box"/>
        <c:axId val="140930048"/>
        <c:axId val="140944128"/>
        <c:axId val="0"/>
      </c:bar3DChart>
      <c:catAx>
        <c:axId val="140930048"/>
        <c:scaling>
          <c:orientation val="minMax"/>
        </c:scaling>
        <c:delete val="0"/>
        <c:axPos val="l"/>
        <c:numFmt formatCode="General" sourceLinked="0"/>
        <c:majorTickMark val="none"/>
        <c:minorTickMark val="none"/>
        <c:tickLblPos val="nextTo"/>
        <c:txPr>
          <a:bodyPr/>
          <a:lstStyle/>
          <a:p>
            <a:pPr>
              <a:defRPr lang="es-ES"/>
            </a:pPr>
            <a:endParaRPr lang="es-MX"/>
          </a:p>
        </c:txPr>
        <c:crossAx val="140944128"/>
        <c:crosses val="autoZero"/>
        <c:auto val="1"/>
        <c:lblAlgn val="ctr"/>
        <c:lblOffset val="100"/>
        <c:noMultiLvlLbl val="0"/>
      </c:catAx>
      <c:valAx>
        <c:axId val="14094412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93004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a:t>
            </a:r>
            <a:r>
              <a:rPr lang="es-MX" baseline="0"/>
              <a:t> de Ingreso</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5618-42AE-A602-25981D29BC59}"/>
            </c:ext>
          </c:extLst>
        </c:ser>
        <c:ser>
          <c:idx val="1"/>
          <c:order val="1"/>
          <c:tx>
            <c:strRef>
              <c:f>Hoja1!$C$1</c:f>
              <c:strCache>
                <c:ptCount val="1"/>
                <c:pt idx="0">
                  <c:v>MUJERES</c:v>
                </c:pt>
              </c:strCache>
            </c:strRef>
          </c:tx>
          <c:spPr>
            <a:solidFill>
              <a:srgbClr val="006666"/>
            </a:solidFill>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5618-42AE-A602-25981D29BC59}"/>
            </c:ext>
          </c:extLst>
        </c:ser>
        <c:dLbls>
          <c:showLegendKey val="0"/>
          <c:showVal val="0"/>
          <c:showCatName val="0"/>
          <c:showSerName val="0"/>
          <c:showPercent val="0"/>
          <c:showBubbleSize val="0"/>
        </c:dLbls>
        <c:gapWidth val="150"/>
        <c:shape val="box"/>
        <c:axId val="140708480"/>
        <c:axId val="140714368"/>
        <c:axId val="0"/>
      </c:bar3DChart>
      <c:catAx>
        <c:axId val="140708480"/>
        <c:scaling>
          <c:orientation val="minMax"/>
        </c:scaling>
        <c:delete val="0"/>
        <c:axPos val="l"/>
        <c:numFmt formatCode="General" sourceLinked="0"/>
        <c:majorTickMark val="none"/>
        <c:minorTickMark val="none"/>
        <c:tickLblPos val="nextTo"/>
        <c:txPr>
          <a:bodyPr/>
          <a:lstStyle/>
          <a:p>
            <a:pPr>
              <a:defRPr lang="es-ES"/>
            </a:pPr>
            <a:endParaRPr lang="es-MX"/>
          </a:p>
        </c:txPr>
        <c:crossAx val="140714368"/>
        <c:crosses val="autoZero"/>
        <c:auto val="1"/>
        <c:lblAlgn val="ctr"/>
        <c:lblOffset val="100"/>
        <c:noMultiLvlLbl val="0"/>
      </c:catAx>
      <c:valAx>
        <c:axId val="14071436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70848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Servicio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28AF-40AF-B3D0-11142ED5321D}"/>
            </c:ext>
          </c:extLst>
        </c:ser>
        <c:ser>
          <c:idx val="1"/>
          <c:order val="1"/>
          <c:tx>
            <c:strRef>
              <c:f>Hoja1!$C$1</c:f>
              <c:strCache>
                <c:ptCount val="1"/>
                <c:pt idx="0">
                  <c:v>MUJERES</c:v>
                </c:pt>
              </c:strCache>
            </c:strRef>
          </c:tx>
          <c:spPr>
            <a:solidFill>
              <a:srgbClr val="006666"/>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28AF-40AF-B3D0-11142ED5321D}"/>
            </c:ext>
          </c:extLst>
        </c:ser>
        <c:dLbls>
          <c:showLegendKey val="0"/>
          <c:showVal val="0"/>
          <c:showCatName val="0"/>
          <c:showSerName val="0"/>
          <c:showPercent val="0"/>
          <c:showBubbleSize val="0"/>
        </c:dLbls>
        <c:gapWidth val="150"/>
        <c:shape val="cylinder"/>
        <c:axId val="140749056"/>
        <c:axId val="140750848"/>
        <c:axId val="0"/>
      </c:bar3DChart>
      <c:catAx>
        <c:axId val="140749056"/>
        <c:scaling>
          <c:orientation val="minMax"/>
        </c:scaling>
        <c:delete val="0"/>
        <c:axPos val="b"/>
        <c:numFmt formatCode="General" sourceLinked="0"/>
        <c:majorTickMark val="none"/>
        <c:minorTickMark val="none"/>
        <c:tickLblPos val="nextTo"/>
        <c:txPr>
          <a:bodyPr/>
          <a:lstStyle/>
          <a:p>
            <a:pPr>
              <a:defRPr lang="es-ES"/>
            </a:pPr>
            <a:endParaRPr lang="es-MX"/>
          </a:p>
        </c:txPr>
        <c:crossAx val="140750848"/>
        <c:crosses val="autoZero"/>
        <c:auto val="1"/>
        <c:lblAlgn val="ctr"/>
        <c:lblOffset val="100"/>
        <c:noMultiLvlLbl val="0"/>
      </c:catAx>
      <c:valAx>
        <c:axId val="14075084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74905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Condición</a:t>
            </a:r>
            <a:r>
              <a:rPr lang="es-MX" baseline="0"/>
              <a:t> de Violencia</a:t>
            </a:r>
            <a:endParaRPr lang="es-MX"/>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9820-4189-9D1F-076634082E5F}"/>
            </c:ext>
          </c:extLst>
        </c:ser>
        <c:ser>
          <c:idx val="1"/>
          <c:order val="1"/>
          <c:tx>
            <c:strRef>
              <c:f>Hoja1!$C$1</c:f>
              <c:strCache>
                <c:ptCount val="1"/>
                <c:pt idx="0">
                  <c:v>MUJERES</c:v>
                </c:pt>
              </c:strCache>
            </c:strRef>
          </c:tx>
          <c:spPr>
            <a:solidFill>
              <a:srgbClr val="006666"/>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9820-4189-9D1F-076634082E5F}"/>
            </c:ext>
          </c:extLst>
        </c:ser>
        <c:dLbls>
          <c:showLegendKey val="0"/>
          <c:showVal val="0"/>
          <c:showCatName val="0"/>
          <c:showSerName val="0"/>
          <c:showPercent val="0"/>
          <c:showBubbleSize val="0"/>
        </c:dLbls>
        <c:gapWidth val="150"/>
        <c:shape val="box"/>
        <c:axId val="141010816"/>
        <c:axId val="141012352"/>
        <c:axId val="0"/>
      </c:bar3DChart>
      <c:catAx>
        <c:axId val="141010816"/>
        <c:scaling>
          <c:orientation val="minMax"/>
        </c:scaling>
        <c:delete val="0"/>
        <c:axPos val="b"/>
        <c:numFmt formatCode="General" sourceLinked="0"/>
        <c:majorTickMark val="none"/>
        <c:minorTickMark val="none"/>
        <c:tickLblPos val="nextTo"/>
        <c:txPr>
          <a:bodyPr/>
          <a:lstStyle/>
          <a:p>
            <a:pPr>
              <a:defRPr lang="es-ES"/>
            </a:pPr>
            <a:endParaRPr lang="es-MX"/>
          </a:p>
        </c:txPr>
        <c:crossAx val="141012352"/>
        <c:crosses val="autoZero"/>
        <c:auto val="1"/>
        <c:lblAlgn val="ctr"/>
        <c:lblOffset val="100"/>
        <c:noMultiLvlLbl val="0"/>
      </c:catAx>
      <c:valAx>
        <c:axId val="14101235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101081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E01D-4273-A012-2431F86764A3}"/>
            </c:ext>
          </c:extLst>
        </c:ser>
        <c:ser>
          <c:idx val="1"/>
          <c:order val="1"/>
          <c:tx>
            <c:strRef>
              <c:f>Hoja1!$C$1</c:f>
              <c:strCache>
                <c:ptCount val="1"/>
                <c:pt idx="0">
                  <c:v>MUJERES</c:v>
                </c:pt>
              </c:strCache>
            </c:strRef>
          </c:tx>
          <c:spPr>
            <a:solidFill>
              <a:srgbClr val="006666"/>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E01D-4273-A012-2431F86764A3}"/>
            </c:ext>
          </c:extLst>
        </c:ser>
        <c:dLbls>
          <c:showLegendKey val="0"/>
          <c:showVal val="0"/>
          <c:showCatName val="0"/>
          <c:showSerName val="0"/>
          <c:showPercent val="0"/>
          <c:showBubbleSize val="0"/>
        </c:dLbls>
        <c:gapWidth val="150"/>
        <c:shape val="cylinder"/>
        <c:axId val="141116928"/>
        <c:axId val="141118464"/>
        <c:axId val="0"/>
      </c:bar3DChart>
      <c:catAx>
        <c:axId val="141116928"/>
        <c:scaling>
          <c:orientation val="minMax"/>
        </c:scaling>
        <c:delete val="0"/>
        <c:axPos val="b"/>
        <c:numFmt formatCode="General" sourceLinked="0"/>
        <c:majorTickMark val="none"/>
        <c:minorTickMark val="none"/>
        <c:tickLblPos val="nextTo"/>
        <c:txPr>
          <a:bodyPr/>
          <a:lstStyle/>
          <a:p>
            <a:pPr>
              <a:defRPr lang="es-ES"/>
            </a:pPr>
            <a:endParaRPr lang="es-MX"/>
          </a:p>
        </c:txPr>
        <c:crossAx val="141118464"/>
        <c:crosses val="autoZero"/>
        <c:auto val="1"/>
        <c:lblAlgn val="ctr"/>
        <c:lblOffset val="100"/>
        <c:noMultiLvlLbl val="0"/>
      </c:catAx>
      <c:valAx>
        <c:axId val="141118464"/>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111692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Modalidad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A3E6-4F2B-8898-10D84C281518}"/>
            </c:ext>
          </c:extLst>
        </c:ser>
        <c:ser>
          <c:idx val="1"/>
          <c:order val="1"/>
          <c:tx>
            <c:strRef>
              <c:f>Hoja1!$C$1</c:f>
              <c:strCache>
                <c:ptCount val="1"/>
                <c:pt idx="0">
                  <c:v>MUJERES</c:v>
                </c:pt>
              </c:strCache>
            </c:strRef>
          </c:tx>
          <c:spPr>
            <a:solidFill>
              <a:srgbClr val="006666"/>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1-A3E6-4F2B-8898-10D84C281518}"/>
            </c:ext>
          </c:extLst>
        </c:ser>
        <c:dLbls>
          <c:showLegendKey val="0"/>
          <c:showVal val="0"/>
          <c:showCatName val="0"/>
          <c:showSerName val="0"/>
          <c:showPercent val="0"/>
          <c:showBubbleSize val="0"/>
        </c:dLbls>
        <c:gapWidth val="150"/>
        <c:shape val="cylinder"/>
        <c:axId val="141505280"/>
        <c:axId val="141506816"/>
        <c:axId val="0"/>
      </c:bar3DChart>
      <c:catAx>
        <c:axId val="141505280"/>
        <c:scaling>
          <c:orientation val="minMax"/>
        </c:scaling>
        <c:delete val="0"/>
        <c:axPos val="b"/>
        <c:numFmt formatCode="General" sourceLinked="0"/>
        <c:majorTickMark val="none"/>
        <c:minorTickMark val="none"/>
        <c:tickLblPos val="nextTo"/>
        <c:txPr>
          <a:bodyPr/>
          <a:lstStyle/>
          <a:p>
            <a:pPr>
              <a:defRPr lang="es-ES"/>
            </a:pPr>
            <a:endParaRPr lang="es-MX"/>
          </a:p>
        </c:txPr>
        <c:crossAx val="141506816"/>
        <c:crosses val="autoZero"/>
        <c:auto val="1"/>
        <c:lblAlgn val="ctr"/>
        <c:lblOffset val="100"/>
        <c:noMultiLvlLbl val="0"/>
      </c:catAx>
      <c:valAx>
        <c:axId val="14150681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150528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00CC0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67C9-4B83-AD8A-FF425ED8699C}"/>
            </c:ext>
          </c:extLst>
        </c:ser>
        <c:ser>
          <c:idx val="1"/>
          <c:order val="1"/>
          <c:tx>
            <c:strRef>
              <c:f>Hoja1!$C$1</c:f>
              <c:strCache>
                <c:ptCount val="1"/>
                <c:pt idx="0">
                  <c:v>Mujeres</c:v>
                </c:pt>
              </c:strCache>
            </c:strRef>
          </c:tx>
          <c:spPr>
            <a:solidFill>
              <a:srgbClr val="9966FF"/>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67C9-4B83-AD8A-FF425ED8699C}"/>
            </c:ext>
          </c:extLst>
        </c:ser>
        <c:ser>
          <c:idx val="2"/>
          <c:order val="2"/>
          <c:tx>
            <c:strRef>
              <c:f>Hoja1!$D$1</c:f>
              <c:strCache>
                <c:ptCount val="1"/>
                <c:pt idx="0">
                  <c:v>Hombres2</c:v>
                </c:pt>
              </c:strCache>
            </c:strRef>
          </c:tx>
          <c:spPr>
            <a:solidFill>
              <a:srgbClr val="990099"/>
            </a:solidFill>
          </c:spPr>
          <c:invertIfNegative val="0"/>
          <c:cat>
            <c:strRef>
              <c:f>Hoja1!$A$2:$A$3</c:f>
              <c:strCache>
                <c:ptCount val="2"/>
                <c:pt idx="0">
                  <c:v>Funcionariado Público</c:v>
                </c:pt>
                <c:pt idx="1">
                  <c:v>Población Abierta</c:v>
                </c:pt>
              </c:strCache>
            </c:strRef>
          </c:cat>
          <c:val>
            <c:numRef>
              <c:f>Hoja1!$D$2:$D$3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3083-4CF4-B279-94A458AD983D}"/>
            </c:ext>
          </c:extLst>
        </c:ser>
        <c:ser>
          <c:idx val="3"/>
          <c:order val="3"/>
          <c:tx>
            <c:strRef>
              <c:f>Hoja1!$E$1</c:f>
              <c:strCache>
                <c:ptCount val="1"/>
                <c:pt idx="0">
                  <c:v>Mujeres2</c:v>
                </c:pt>
              </c:strCache>
            </c:strRef>
          </c:tx>
          <c:spPr>
            <a:solidFill>
              <a:srgbClr val="006666"/>
            </a:solidFill>
          </c:spPr>
          <c:invertIfNegative val="0"/>
          <c:cat>
            <c:strRef>
              <c:f>Hoja1!$A$2:$A$3</c:f>
              <c:strCache>
                <c:ptCount val="2"/>
                <c:pt idx="0">
                  <c:v>Funcionariado Público</c:v>
                </c:pt>
                <c:pt idx="1">
                  <c:v>Población Abierta</c:v>
                </c:pt>
              </c:strCache>
            </c:strRef>
          </c:cat>
          <c:val>
            <c:numRef>
              <c:f>Hoja1!$E$2:$E$3</c:f>
              <c:numCache>
                <c:formatCode>General</c:formatCode>
                <c:ptCount val="2"/>
                <c:pt idx="0">
                  <c:v>11</c:v>
                </c:pt>
                <c:pt idx="1">
                  <c:v>10</c:v>
                </c:pt>
              </c:numCache>
            </c:numRef>
          </c:val>
          <c:extLst xmlns:c16r2="http://schemas.microsoft.com/office/drawing/2015/06/chart">
            <c:ext xmlns:c16="http://schemas.microsoft.com/office/drawing/2014/chart" uri="{C3380CC4-5D6E-409C-BE32-E72D297353CC}">
              <c16:uniqueId val="{00000001-3083-4CF4-B279-94A458AD983D}"/>
            </c:ext>
          </c:extLst>
        </c:ser>
        <c:dLbls>
          <c:showLegendKey val="0"/>
          <c:showVal val="0"/>
          <c:showCatName val="0"/>
          <c:showSerName val="0"/>
          <c:showPercent val="0"/>
          <c:showBubbleSize val="0"/>
        </c:dLbls>
        <c:gapWidth val="150"/>
        <c:shape val="box"/>
        <c:axId val="21623168"/>
        <c:axId val="21624704"/>
        <c:axId val="0"/>
      </c:bar3DChart>
      <c:catAx>
        <c:axId val="21623168"/>
        <c:scaling>
          <c:orientation val="minMax"/>
        </c:scaling>
        <c:delete val="0"/>
        <c:axPos val="l"/>
        <c:numFmt formatCode="General" sourceLinked="1"/>
        <c:majorTickMark val="none"/>
        <c:minorTickMark val="none"/>
        <c:tickLblPos val="nextTo"/>
        <c:txPr>
          <a:bodyPr/>
          <a:lstStyle/>
          <a:p>
            <a:pPr>
              <a:defRPr lang="es-ES"/>
            </a:pPr>
            <a:endParaRPr lang="es-MX"/>
          </a:p>
        </c:txPr>
        <c:crossAx val="21624704"/>
        <c:crosses val="autoZero"/>
        <c:auto val="1"/>
        <c:lblAlgn val="ctr"/>
        <c:lblOffset val="100"/>
        <c:noMultiLvlLbl val="0"/>
      </c:catAx>
      <c:valAx>
        <c:axId val="2162470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2162316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20062"/>
          <c:h val="0.66030402449693792"/>
        </c:manualLayout>
      </c:layout>
      <c:bar3DChart>
        <c:barDir val="bar"/>
        <c:grouping val="clustered"/>
        <c:varyColors val="0"/>
        <c:ser>
          <c:idx val="0"/>
          <c:order val="0"/>
          <c:tx>
            <c:strRef>
              <c:f>Hoja1!$B$1</c:f>
              <c:strCache>
                <c:ptCount val="1"/>
                <c:pt idx="0">
                  <c:v>MUJERES</c:v>
                </c:pt>
              </c:strCache>
            </c:strRef>
          </c:tx>
          <c:spPr>
            <a:solidFill>
              <a:srgbClr val="006666"/>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4</c:v>
                </c:pt>
                <c:pt idx="2">
                  <c:v>4</c:v>
                </c:pt>
                <c:pt idx="3">
                  <c:v>0</c:v>
                </c:pt>
                <c:pt idx="4">
                  <c:v>0</c:v>
                </c:pt>
              </c:numCache>
            </c:numRef>
          </c:val>
          <c:extLst xmlns:c16r2="http://schemas.microsoft.com/office/drawing/2015/06/char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990099"/>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21651456"/>
        <c:axId val="21652992"/>
        <c:axId val="0"/>
      </c:bar3DChart>
      <c:catAx>
        <c:axId val="2165145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1652992"/>
        <c:crosses val="autoZero"/>
        <c:auto val="1"/>
        <c:lblAlgn val="ctr"/>
        <c:lblOffset val="100"/>
        <c:noMultiLvlLbl val="0"/>
      </c:catAx>
      <c:valAx>
        <c:axId val="216529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16514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RANGO</a:t>
            </a:r>
            <a:r>
              <a:rPr lang="es-MX" sz="1600" b="1" baseline="0"/>
              <a:t> DE EDAD POBLACIÓN ABIERTA</a:t>
            </a:r>
            <a:endParaRPr lang="es-MX" sz="1600" b="1"/>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20062"/>
          <c:h val="0.66030402449693792"/>
        </c:manualLayout>
      </c:layout>
      <c:bar3DChart>
        <c:barDir val="bar"/>
        <c:grouping val="clustered"/>
        <c:varyColors val="0"/>
        <c:ser>
          <c:idx val="0"/>
          <c:order val="0"/>
          <c:tx>
            <c:strRef>
              <c:f>Hoja1!$B$1</c:f>
              <c:strCache>
                <c:ptCount val="1"/>
                <c:pt idx="0">
                  <c:v>MUJERES</c:v>
                </c:pt>
              </c:strCache>
            </c:strRef>
          </c:tx>
          <c:spPr>
            <a:solidFill>
              <a:srgbClr val="006666"/>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3</c:v>
                </c:pt>
                <c:pt idx="2">
                  <c:v>1</c:v>
                </c:pt>
                <c:pt idx="3">
                  <c:v>0</c:v>
                </c:pt>
                <c:pt idx="4">
                  <c:v>0</c:v>
                </c:pt>
              </c:numCache>
            </c:numRef>
          </c:val>
          <c:extLst xmlns:c16r2="http://schemas.microsoft.com/office/drawing/2015/06/char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990099"/>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1</c:v>
                </c:pt>
                <c:pt idx="1">
                  <c:v>3</c:v>
                </c:pt>
                <c:pt idx="2">
                  <c:v>1</c:v>
                </c:pt>
                <c:pt idx="3">
                  <c:v>1</c:v>
                </c:pt>
                <c:pt idx="4">
                  <c:v>0</c:v>
                </c:pt>
              </c:numCache>
            </c:numRef>
          </c:val>
          <c:extLst xmlns:c16r2="http://schemas.microsoft.com/office/drawing/2015/06/char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139947392"/>
        <c:axId val="139957376"/>
        <c:axId val="0"/>
      </c:bar3DChart>
      <c:catAx>
        <c:axId val="13994739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957376"/>
        <c:crosses val="autoZero"/>
        <c:auto val="1"/>
        <c:lblAlgn val="ctr"/>
        <c:lblOffset val="100"/>
        <c:noMultiLvlLbl val="0"/>
      </c:catAx>
      <c:valAx>
        <c:axId val="139957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9473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2BD1-46F9-A9B4-847DEBE94381}"/>
            </c:ext>
          </c:extLst>
        </c:ser>
        <c:ser>
          <c:idx val="1"/>
          <c:order val="1"/>
          <c:tx>
            <c:strRef>
              <c:f>Hoja1!$C$1</c:f>
              <c:strCache>
                <c:ptCount val="1"/>
                <c:pt idx="0">
                  <c:v>Taller Violencia contra la Mujer</c:v>
                </c:pt>
              </c:strCache>
            </c:strRef>
          </c:tx>
          <c:spPr>
            <a:solidFill>
              <a:srgbClr val="0066FF"/>
            </a:solidFill>
            <a:ln>
              <a:noFill/>
            </a:ln>
            <a:effectLst/>
            <a:sp3d/>
          </c:spPr>
          <c:invertIfNegative val="0"/>
          <c:cat>
            <c:strRef>
              <c:f>Hoja1!$A$2:$A$5</c:f>
              <c:strCache>
                <c:ptCount val="4"/>
                <c:pt idx="0">
                  <c:v>Jamay</c:v>
                </c:pt>
                <c:pt idx="1">
                  <c:v>Maltaraña</c:v>
                </c:pt>
                <c:pt idx="2">
                  <c:v>San Agustín</c:v>
                </c:pt>
                <c:pt idx="3">
                  <c:v>San Miguel</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2BD1-46F9-A9B4-847DEBE94381}"/>
            </c:ext>
          </c:extLst>
        </c:ser>
        <c:ser>
          <c:idx val="2"/>
          <c:order val="2"/>
          <c:tx>
            <c:strRef>
              <c:f>Hoja1!$D$1</c:f>
              <c:strCache>
                <c:ptCount val="1"/>
                <c:pt idx="0">
                  <c:v>Taller Políticas Públicas</c:v>
                </c:pt>
              </c:strCache>
            </c:strRef>
          </c:tx>
          <c:spPr>
            <a:solidFill>
              <a:srgbClr val="00CC00"/>
            </a:solidFill>
            <a:ln>
              <a:noFill/>
            </a:ln>
            <a:effectLst/>
            <a:sp3d/>
          </c:spPr>
          <c:invertIfNegative val="0"/>
          <c:cat>
            <c:strRef>
              <c:f>Hoja1!$A$2:$A$5</c:f>
              <c:strCache>
                <c:ptCount val="4"/>
                <c:pt idx="0">
                  <c:v>Jamay</c:v>
                </c:pt>
                <c:pt idx="1">
                  <c:v>Maltaraña</c:v>
                </c:pt>
                <c:pt idx="2">
                  <c:v>San Agustín</c:v>
                </c:pt>
                <c:pt idx="3">
                  <c:v>San Miguel</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2BD1-46F9-A9B4-847DEBE94381}"/>
            </c:ext>
          </c:extLst>
        </c:ser>
        <c:ser>
          <c:idx val="3"/>
          <c:order val="3"/>
          <c:tx>
            <c:strRef>
              <c:f>Hoja1!$E$1</c:f>
              <c:strCache>
                <c:ptCount val="1"/>
                <c:pt idx="0">
                  <c:v>Mesa de Trabajo</c:v>
                </c:pt>
              </c:strCache>
            </c:strRef>
          </c:tx>
          <c:spPr>
            <a:solidFill>
              <a:srgbClr val="660066"/>
            </a:solidFill>
            <a:ln>
              <a:noFill/>
            </a:ln>
            <a:effectLst/>
            <a:sp3d/>
          </c:spPr>
          <c:invertIfNegative val="0"/>
          <c:cat>
            <c:strRef>
              <c:f>Hoja1!$A$2:$A$5</c:f>
              <c:strCache>
                <c:ptCount val="4"/>
                <c:pt idx="0">
                  <c:v>Jamay</c:v>
                </c:pt>
                <c:pt idx="1">
                  <c:v>Maltaraña</c:v>
                </c:pt>
                <c:pt idx="2">
                  <c:v>San Agustín</c:v>
                </c:pt>
                <c:pt idx="3">
                  <c:v>San Miguel</c:v>
                </c:pt>
              </c:strCache>
            </c:strRef>
          </c:cat>
          <c:val>
            <c:numRef>
              <c:f>Hoja1!$E$2:$E$5</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3-2BD1-46F9-A9B4-847DEBE94381}"/>
            </c:ext>
          </c:extLst>
        </c:ser>
        <c:dLbls>
          <c:showLegendKey val="0"/>
          <c:showVal val="0"/>
          <c:showCatName val="0"/>
          <c:showSerName val="0"/>
          <c:showPercent val="0"/>
          <c:showBubbleSize val="0"/>
        </c:dLbls>
        <c:gapWidth val="150"/>
        <c:shape val="box"/>
        <c:axId val="139745152"/>
        <c:axId val="139746688"/>
        <c:axId val="0"/>
      </c:bar3DChart>
      <c:catAx>
        <c:axId val="1397451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746688"/>
        <c:crosses val="autoZero"/>
        <c:auto val="1"/>
        <c:lblAlgn val="ctr"/>
        <c:lblOffset val="100"/>
        <c:noMultiLvlLbl val="0"/>
      </c:catAx>
      <c:valAx>
        <c:axId val="1397466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7451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SEXO</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D42B-4B0B-B525-A6502CBDBA0C}"/>
            </c:ext>
          </c:extLst>
        </c:ser>
        <c:ser>
          <c:idx val="1"/>
          <c:order val="1"/>
          <c:tx>
            <c:strRef>
              <c:f>Hoja1!$C$1</c:f>
              <c:strCache>
                <c:ptCount val="1"/>
                <c:pt idx="0">
                  <c:v>MUJERES</c:v>
                </c:pt>
              </c:strCache>
            </c:strRef>
          </c:tx>
          <c:spPr>
            <a:solidFill>
              <a:srgbClr val="006666"/>
            </a:solidFill>
          </c:spPr>
          <c:invertIfNegative val="0"/>
          <c:cat>
            <c:strRef>
              <c:f>Hoja1!$A$2</c:f>
              <c:strCache>
                <c:ptCount val="1"/>
                <c:pt idx="0">
                  <c:v>SEXO</c:v>
                </c:pt>
              </c:strCache>
            </c:strRef>
          </c:cat>
          <c:val>
            <c:numRef>
              <c:f>Hoja1!$C$2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1-D42B-4B0B-B525-A6502CBDBA0C}"/>
            </c:ext>
          </c:extLst>
        </c:ser>
        <c:dLbls>
          <c:showLegendKey val="0"/>
          <c:showVal val="0"/>
          <c:showCatName val="0"/>
          <c:showSerName val="0"/>
          <c:showPercent val="0"/>
          <c:showBubbleSize val="0"/>
        </c:dLbls>
        <c:gapWidth val="150"/>
        <c:shape val="box"/>
        <c:axId val="139863168"/>
        <c:axId val="139864704"/>
        <c:axId val="0"/>
      </c:bar3DChart>
      <c:catAx>
        <c:axId val="139863168"/>
        <c:scaling>
          <c:orientation val="minMax"/>
        </c:scaling>
        <c:delete val="0"/>
        <c:axPos val="l"/>
        <c:numFmt formatCode="General" sourceLinked="0"/>
        <c:majorTickMark val="none"/>
        <c:minorTickMark val="none"/>
        <c:tickLblPos val="nextTo"/>
        <c:txPr>
          <a:bodyPr/>
          <a:lstStyle/>
          <a:p>
            <a:pPr>
              <a:defRPr lang="es-ES"/>
            </a:pPr>
            <a:endParaRPr lang="es-MX"/>
          </a:p>
        </c:txPr>
        <c:crossAx val="139864704"/>
        <c:crosses val="autoZero"/>
        <c:auto val="1"/>
        <c:lblAlgn val="ctr"/>
        <c:lblOffset val="100"/>
        <c:noMultiLvlLbl val="0"/>
      </c:catAx>
      <c:valAx>
        <c:axId val="13986470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39863168"/>
        <c:crosses val="autoZero"/>
        <c:crossBetween val="between"/>
      </c:valAx>
    </c:plotArea>
    <c:legend>
      <c:legendPos val="r"/>
      <c:layout>
        <c:manualLayout>
          <c:xMode val="edge"/>
          <c:yMode val="edge"/>
          <c:x val="0.86102939905475462"/>
          <c:y val="0.52533968862200842"/>
          <c:w val="0.13572401370106041"/>
          <c:h val="0.14308932451692896"/>
        </c:manualLayout>
      </c:layout>
      <c:overlay val="0"/>
      <c:txPr>
        <a:bodyPr/>
        <a:lstStyle/>
        <a:p>
          <a:pPr>
            <a:defRPr lang="es-ES"/>
          </a:pPr>
          <a:endParaRPr lang="es-MX"/>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RANGO</a:t>
            </a:r>
            <a:r>
              <a:rPr lang="es-MX" baseline="0"/>
              <a:t> DE EDAD</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1BC0-4A50-A127-6565483AA55C}"/>
            </c:ext>
          </c:extLst>
        </c:ser>
        <c:ser>
          <c:idx val="1"/>
          <c:order val="1"/>
          <c:tx>
            <c:strRef>
              <c:f>Hoja1!$C$1</c:f>
              <c:strCache>
                <c:ptCount val="1"/>
                <c:pt idx="0">
                  <c:v>MUJERES</c:v>
                </c:pt>
              </c:strCache>
            </c:strRef>
          </c:tx>
          <c:spPr>
            <a:solidFill>
              <a:srgbClr val="006666"/>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BC0-4A50-A127-6565483AA55C}"/>
            </c:ext>
          </c:extLst>
        </c:ser>
        <c:dLbls>
          <c:showLegendKey val="0"/>
          <c:showVal val="0"/>
          <c:showCatName val="0"/>
          <c:showSerName val="0"/>
          <c:showPercent val="0"/>
          <c:showBubbleSize val="0"/>
        </c:dLbls>
        <c:gapWidth val="150"/>
        <c:shape val="box"/>
        <c:axId val="139875072"/>
        <c:axId val="139876608"/>
        <c:axId val="0"/>
      </c:bar3DChart>
      <c:catAx>
        <c:axId val="139875072"/>
        <c:scaling>
          <c:orientation val="minMax"/>
        </c:scaling>
        <c:delete val="0"/>
        <c:axPos val="l"/>
        <c:numFmt formatCode="General" sourceLinked="0"/>
        <c:majorTickMark val="none"/>
        <c:minorTickMark val="none"/>
        <c:tickLblPos val="nextTo"/>
        <c:txPr>
          <a:bodyPr/>
          <a:lstStyle/>
          <a:p>
            <a:pPr>
              <a:defRPr lang="es-ES"/>
            </a:pPr>
            <a:endParaRPr lang="es-MX"/>
          </a:p>
        </c:txPr>
        <c:crossAx val="139876608"/>
        <c:crosses val="autoZero"/>
        <c:auto val="1"/>
        <c:lblAlgn val="ctr"/>
        <c:lblOffset val="100"/>
        <c:noMultiLvlLbl val="0"/>
      </c:catAx>
      <c:valAx>
        <c:axId val="13987660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3987507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ESCOLARIDAD</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39B7-4106-8F97-FA71A3701F2A}"/>
            </c:ext>
          </c:extLst>
        </c:ser>
        <c:ser>
          <c:idx val="1"/>
          <c:order val="1"/>
          <c:tx>
            <c:strRef>
              <c:f>Hoja1!$C$1</c:f>
              <c:strCache>
                <c:ptCount val="1"/>
                <c:pt idx="0">
                  <c:v>MUJERES</c:v>
                </c:pt>
              </c:strCache>
            </c:strRef>
          </c:tx>
          <c:spPr>
            <a:solidFill>
              <a:srgbClr val="006666"/>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39B7-4106-8F97-FA71A3701F2A}"/>
            </c:ext>
          </c:extLst>
        </c:ser>
        <c:dLbls>
          <c:showLegendKey val="0"/>
          <c:showVal val="0"/>
          <c:showCatName val="0"/>
          <c:showSerName val="0"/>
          <c:showPercent val="0"/>
          <c:showBubbleSize val="0"/>
        </c:dLbls>
        <c:gapWidth val="150"/>
        <c:shape val="box"/>
        <c:axId val="140149120"/>
        <c:axId val="140150656"/>
        <c:axId val="0"/>
      </c:bar3DChart>
      <c:catAx>
        <c:axId val="140149120"/>
        <c:scaling>
          <c:orientation val="minMax"/>
        </c:scaling>
        <c:delete val="0"/>
        <c:axPos val="l"/>
        <c:numFmt formatCode="General" sourceLinked="0"/>
        <c:majorTickMark val="none"/>
        <c:minorTickMark val="none"/>
        <c:tickLblPos val="nextTo"/>
        <c:txPr>
          <a:bodyPr/>
          <a:lstStyle/>
          <a:p>
            <a:pPr>
              <a:defRPr lang="es-ES"/>
            </a:pPr>
            <a:endParaRPr lang="es-MX"/>
          </a:p>
        </c:txPr>
        <c:crossAx val="140150656"/>
        <c:crosses val="autoZero"/>
        <c:auto val="1"/>
        <c:lblAlgn val="ctr"/>
        <c:lblOffset val="100"/>
        <c:noMultiLvlLbl val="0"/>
      </c:catAx>
      <c:valAx>
        <c:axId val="140150656"/>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14912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Lugar de Procedencia y</a:t>
            </a:r>
            <a:r>
              <a:rPr lang="es-MX" baseline="0"/>
              <a:t> </a:t>
            </a:r>
            <a:r>
              <a:rPr lang="es-MX"/>
              <a:t>Delegaciones</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9A84-4669-85FD-B59E4648B737}"/>
            </c:ext>
          </c:extLst>
        </c:ser>
        <c:ser>
          <c:idx val="1"/>
          <c:order val="1"/>
          <c:tx>
            <c:strRef>
              <c:f>Hoja1!$C$1</c:f>
              <c:strCache>
                <c:ptCount val="1"/>
                <c:pt idx="0">
                  <c:v>MUJERES</c:v>
                </c:pt>
              </c:strCache>
            </c:strRef>
          </c:tx>
          <c:spPr>
            <a:solidFill>
              <a:srgbClr val="006666"/>
            </a:solidFill>
          </c:spPr>
          <c:invertIfNegative val="0"/>
          <c:cat>
            <c:strRef>
              <c:f>Hoja1!$A$2:$A$6</c:f>
              <c:strCache>
                <c:ptCount val="5"/>
                <c:pt idx="0">
                  <c:v>Jamay</c:v>
                </c:pt>
                <c:pt idx="1">
                  <c:v>Maltaraña</c:v>
                </c:pt>
                <c:pt idx="2">
                  <c:v>San Miguel de la Paz</c:v>
                </c:pt>
                <c:pt idx="3">
                  <c:v>San Agustín</c:v>
                </c:pt>
                <c:pt idx="4">
                  <c:v>Otros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9A84-4669-85FD-B59E4648B737}"/>
            </c:ext>
          </c:extLst>
        </c:ser>
        <c:dLbls>
          <c:showLegendKey val="0"/>
          <c:showVal val="0"/>
          <c:showCatName val="0"/>
          <c:showSerName val="0"/>
          <c:showPercent val="0"/>
          <c:showBubbleSize val="0"/>
        </c:dLbls>
        <c:gapWidth val="150"/>
        <c:shape val="box"/>
        <c:axId val="140316672"/>
        <c:axId val="140318208"/>
        <c:axId val="0"/>
      </c:bar3DChart>
      <c:catAx>
        <c:axId val="140316672"/>
        <c:scaling>
          <c:orientation val="minMax"/>
        </c:scaling>
        <c:delete val="0"/>
        <c:axPos val="l"/>
        <c:numFmt formatCode="General" sourceLinked="0"/>
        <c:majorTickMark val="none"/>
        <c:minorTickMark val="none"/>
        <c:tickLblPos val="nextTo"/>
        <c:txPr>
          <a:bodyPr/>
          <a:lstStyle/>
          <a:p>
            <a:pPr>
              <a:defRPr lang="es-ES"/>
            </a:pPr>
            <a:endParaRPr lang="es-MX"/>
          </a:p>
        </c:txPr>
        <c:crossAx val="140318208"/>
        <c:crosses val="autoZero"/>
        <c:auto val="1"/>
        <c:lblAlgn val="ctr"/>
        <c:lblOffset val="100"/>
        <c:noMultiLvlLbl val="0"/>
      </c:catAx>
      <c:valAx>
        <c:axId val="14031820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31667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17</Pages>
  <Words>1936</Words>
  <Characters>10650</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 TRABAJO SOCIAL</dc:creator>
  <cp:lastModifiedBy> </cp:lastModifiedBy>
  <cp:revision>9</cp:revision>
  <dcterms:created xsi:type="dcterms:W3CDTF">2018-11-20T15:37:00Z</dcterms:created>
  <dcterms:modified xsi:type="dcterms:W3CDTF">2018-11-29T18:24:00Z</dcterms:modified>
</cp:coreProperties>
</file>